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80"/>
        <w:jc w:val="center"/>
      </w:pPr>
      <w:r>
        <w:rPr>
          <w:rFonts w:ascii="Calibri" w:cs="Calibri" w:eastAsia="Calibri" w:hAnsi="Calibri"/>
          <w:sz w:val="24"/>
          <w:szCs w:val="24"/>
        </w:rPr>
        <w:t xml:space="preserve">Not Every Emergency Is a Crisis — In-Class Quiz</w:t>
      </w:r>
    </w:p>
    <w:p>
      <w:pPr>
        <w:spacing w:after="200"/>
        <w:jc w:val="center"/>
      </w:pPr>
      <w:r>
        <w:rPr>
          <w:rFonts w:ascii="Calibri" w:cs="Calibri" w:eastAsia="Calibri" w:hAnsi="Calibri"/>
          <w:b/>
          <w:bCs/>
          <w:sz w:val="28"/>
          <w:szCs w:val="28"/>
        </w:rPr>
        <w:t xml:space="preserve">Version C</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 factory manager receives reports of a chemical smell from two different areas of the plant. Existing monitoring systems show readings within normal parameters, but workers report feeling unwell. Using the chapter's frameworks, what should concern the manager most?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This is a routine incident because the instruments confirm readings are within safe limits, and no further escalation is warranted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situation is clearly an emergency because people are feeling unwell, and standard hazmat protocols should be activated immediately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monitoring systems provide objective data that should take precedence over subjective worker reports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contradictory information suggests deep uncertainty is present, which may indicate a developing crisis rather than a routine incident</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During the early hours of the Grenfell Tower fire, the chapter describes a gap between what responders initially believed was happening and what was actually unfolding. This gap best illustrates which concept?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failure to recognise the moment an incident transitions into a crisis, resulting in a delayed shift in response posture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inevitable communication breakdown that occurs in any large-scale multi-agency response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deliberate decision by incident commanders to downplay the severity of the fire to avoid public panic</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absence of any defensive layers in the building's fire safety system, consistent with having no Swiss Cheese barriers at all</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According to the chapter, why is it equally dangerous to misclassify a genuine crisis as merely a serious emergency?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emergencies always require fewer personnel than crises, so the response will be understaffed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media scrutiny during crises requires a public relations strategy that emergency plans do not include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crises always involve higher casualty counts, and emergency protocols are designed for lower numbers of victims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emergency-level responses rely on established procedures and authority structures that are inadequate when deep uncertainty makes the situation fundamentally uninterpretable</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According to Boin, 't Hart, Stern, and Sundelius, which three characteristics must be simultaneously present for a situation to qualify as a genuine crisis?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Uncertainty, casualties, and systemic breakdown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Threat, scale, and media attention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Urgency, resource scarcity, and organisational failure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Threat, urgency, and deep uncertainty</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In James Reason's Swiss Cheese model, what allows a hazard to result in a catastrophic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Human error at the operational level overwhelming automated safety systems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progressive deterioration of each defensive layer over time until all collapse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single critical failure in the organisation's most important safety barrier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simultaneous alignment of holes across multiple defensive layers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Karl Weick's analysis of the Mann Gulch disaster identifies what as a critical factor in the deaths of thirteen smokejumpers?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collapse of the group's collective ability to make sense of what was happening outpaced the physical advance of the fire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Inadequate physical fitness and insufficient firefighting equipment provided to the team</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Failure to follow established wildfire evacuation procedures that had been trained and rehearsed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single catastrophic leadership decision made by the crew foreman, compounded by faulty radio communication, that sent the team in the wrong direction</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In the Swiss Cheese model, what is the relationship between 'latent conditions' and 'active failures'?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Latent conditions and active failures are essentially two different perspectives on the same underlying phenomenon, viewed at different points in the accident timeline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Latent conditions are pre-existing systemic weaknesses that remain dormant until active failures at the operational level interact with them to create a trajectory of failure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Active failures create the holes in the cheese slices, while latent conditions determine how many slices of cheese exist in the system</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Latent conditions are minor problems that can be safely ignored, while active failures are the serious errors that actually cause accidents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crisis leadership team is managing a developing situation when members begin fixating on the first piece of information they received, dismissing contradictory evidence and expressing frustration that the situation 'doesn't make sense.' Drawing on the chapter's frameworks, what process is most likely breaking down?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situation lacks sufficient urgency to qualify as a crisis, and the team's frustration reflects that they are overreacting to a manageable emergency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Swiss Cheese model's defensive layers are failing sequentially, and the team is observing each layer collapse in real time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Sensemaking is collapsing as the team clings to an initial frame that no longer fits the evidence, preventing them from constructing a coherent understanding of the evolving situation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team is experiencing a standard communication breakdown that can be resolved by establishing clearer reporting protocols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hospital experiences a power outage affecting its surgical wing. Backup generators activate within seconds, staff follow well-rehearsed protocols, and normal operations resume within two hours. How should this event best be classified?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routine incident requiring no further analysis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crisis that was successfully managed because the hospital's leadership team made swift, decisive choices that prioritized patient safety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near-miss crisis that almost escalated beyond control</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An emergency that was effectively managed through existing plans and procedures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Why does the chapter argue that misclassifying an emergency as a crisis is harmful to organisational response?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violates regulatory frameworks that require precise categorisation of adverse events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triggers an unnecessarily disruptive shift in tempo, authority, and communication that can undermine an otherwise manageable response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primarily damages the organisation's public reputation by signalling incompetence to the media</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causes the organisation to allocate too few resources because crises are seen as less serious than emergencies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2026-02-20T05:54:38.820Z</dcterms:created>
  <dcterms:modified xsi:type="dcterms:W3CDTF">2026-02-20T05:54:38.820Z</dcterms:modified>
</cp:coreProperties>
</file>

<file path=docProps/custom.xml><?xml version="1.0" encoding="utf-8"?>
<Properties xmlns="http://schemas.openxmlformats.org/officeDocument/2006/custom-properties" xmlns:vt="http://schemas.openxmlformats.org/officeDocument/2006/docPropsVTypes"/>
</file>