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Leadership through Crisis: Decision-Making When the Stakes Are High</w:t>
      </w:r>
    </w:p>
    <w:p>
      <w:pPr>
        <w:spacing w:after="200"/>
        <w:jc w:val="center"/>
      </w:pPr>
      <w:r>
        <w:rPr>
          <w:rFonts w:ascii="Calibri" w:cs="Calibri" w:eastAsia="Calibri" w:hAnsi="Calibri"/>
          <w:b/>
          <w:bCs/>
          <w:sz w:val="26"/>
          <w:szCs w:val="26"/>
        </w:rPr>
        <w:t xml:space="preserve">The First Thirty Minutes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In the context of crisis management, what does the term 'activation threshold' refer to?</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point at which an organisation determines that normal operations are insufficient and a crisis response mode must be initiated</w:t>
      </w:r>
    </w:p>
    <w:p>
      <w:pPr>
        <w:spacing w:after="120"/>
        <w:ind w:left="360"/>
      </w:pPr>
      <w:r>
        <w:rPr>
          <w:rFonts w:ascii="Calibri" w:cs="Calibri" w:eastAsia="Calibri" w:hAnsi="Calibri"/>
          <w:i/>
          <w:iCs/>
          <w:sz w:val="20"/>
          <w:szCs w:val="20"/>
        </w:rPr>
        <w:t xml:space="preserve">An activation threshold marks the critical decision point between managing a situation within normal parameters and switching to a fundamentally different mode of operating. This concept is central to understanding why the gap between 'something is wrong' and 'we are now in crisis response mode' can be dangerously wide.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maximum level of stress an individual leader can endure before delegating authority to a deputy</w:t>
      </w:r>
    </w:p>
    <w:p>
      <w:pPr>
        <w:spacing w:after="80"/>
        <w:ind w:left="360"/>
      </w:pPr>
      <w:r>
        <w:rPr>
          <w:rFonts w:ascii="Calibri" w:cs="Calibri" w:eastAsia="Calibri" w:hAnsi="Calibri"/>
          <w:i/>
          <w:iCs/>
          <w:sz w:val="20"/>
          <w:szCs w:val="20"/>
        </w:rPr>
        <w:t xml:space="preserve">Students might confuse organisational activation with individual stress tolerance. Activation thresholds are structural and organisational constructs, not measures of personal endurance or leadership capacity.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minimum number of personnel required to be present before an emergency operations centre can legally open</w:t>
      </w:r>
    </w:p>
    <w:p>
      <w:pPr>
        <w:spacing w:after="80"/>
        <w:ind w:left="360"/>
      </w:pPr>
      <w:r>
        <w:rPr>
          <w:rFonts w:ascii="Calibri" w:cs="Calibri" w:eastAsia="Calibri" w:hAnsi="Calibri"/>
          <w:i/>
          <w:iCs/>
          <w:sz w:val="20"/>
          <w:szCs w:val="20"/>
        </w:rPr>
        <w:t xml:space="preserve">This confuses activation thresholds with staffing requirements. While staffing matters for operations, the activation threshold concerns the decision to shift into crisis response mode, not a logistical headcount requirement.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amount of time that must elapse after an initial report before a crisis can be formally declared according to established regulatory requirements</w:t>
      </w:r>
    </w:p>
    <w:p>
      <w:pPr>
        <w:spacing w:after="80"/>
        <w:ind w:left="360"/>
      </w:pPr>
      <w:r>
        <w:rPr>
          <w:rFonts w:ascii="Calibri" w:cs="Calibri" w:eastAsia="Calibri" w:hAnsi="Calibri"/>
          <w:i/>
          <w:iCs/>
          <w:sz w:val="20"/>
          <w:szCs w:val="20"/>
        </w:rPr>
        <w:t xml:space="preserve">Students might assume activation thresholds are time-based, but they are about the quality and severity of signals being received, not about waiting a fixed period. Imposing a mandatory delay would actually worsen the very problem the chapter identifies.</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During the Fukushima Daiichi nuclear disaster, what pattern characterised the initial response that the chapter identifies as a critical failure?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Escalation signals were systematically underweighted, resulting in delayed activation</w:t>
      </w:r>
    </w:p>
    <w:p>
      <w:pPr>
        <w:spacing w:after="120"/>
        <w:ind w:left="360"/>
      </w:pPr>
      <w:r>
        <w:rPr>
          <w:rFonts w:ascii="Calibri" w:cs="Calibri" w:eastAsia="Calibri" w:hAnsi="Calibri"/>
          <w:i/>
          <w:iCs/>
          <w:sz w:val="20"/>
          <w:szCs w:val="20"/>
        </w:rPr>
        <w:t xml:space="preserve">Fukushima is presented as a case where activation was too slow because incoming signals indicating escalating severity were consistently given less importance than they warranted. This systematic underweighting of escalation triggers represents a core failure mode in the opening phase of crisis response.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Too many responders activated simultaneously, creating coordination chaos that paralysed decision-making</w:t>
      </w:r>
    </w:p>
    <w:p>
      <w:pPr>
        <w:spacing w:after="80"/>
        <w:ind w:left="360"/>
      </w:pPr>
      <w:r>
        <w:rPr>
          <w:rFonts w:ascii="Calibri" w:cs="Calibri" w:eastAsia="Calibri" w:hAnsi="Calibri"/>
          <w:i/>
          <w:iCs/>
          <w:sz w:val="20"/>
          <w:szCs w:val="20"/>
        </w:rPr>
        <w:t xml:space="preserve">Students might assume that any crisis failure involves too much activity. At Fukushima, the problem was the opposite — insufficient recognition of severity led to under-activation, not an overresponse creating chaos.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Communication systems were entirely destroyed in the first minutes, making any response impossible</w:t>
      </w:r>
    </w:p>
    <w:p>
      <w:pPr>
        <w:spacing w:after="80"/>
        <w:ind w:left="360"/>
      </w:pPr>
      <w:r>
        <w:rPr>
          <w:rFonts w:ascii="Calibri" w:cs="Calibri" w:eastAsia="Calibri" w:hAnsi="Calibri"/>
          <w:i/>
          <w:iCs/>
          <w:sz w:val="20"/>
          <w:szCs w:val="20"/>
        </w:rPr>
        <w:t xml:space="preserve">While infrastructure damage was a factor at Fukushima, the chapter focuses on the human and institutional failure to appropriately weight the escalation signals that were available. Framing the failure as purely technological misses the organisational and cognitive dimensions.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Responders activated quickly but chose the wrong crisis protocol from their operational handbook</w:t>
      </w:r>
    </w:p>
    <w:p>
      <w:pPr>
        <w:spacing w:after="80"/>
        <w:ind w:left="360"/>
      </w:pPr>
      <w:r>
        <w:rPr>
          <w:rFonts w:ascii="Calibri" w:cs="Calibri" w:eastAsia="Calibri" w:hAnsi="Calibri"/>
          <w:i/>
          <w:iCs/>
          <w:sz w:val="20"/>
          <w:szCs w:val="20"/>
        </w:rPr>
        <w:t xml:space="preserve">This suggests the problem was selecting an incorrect plan rather than failing to recognise the severity of the situation. The chapter emphasises that the core failure at Fukushima was in crisis recognition and escalation, not in choosing between pre-existing plans.</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According to the chapter, what makes the Tham Luang cave rescue in Thailand a contrasting case to the Fukushima disaster?</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It demonstrated remarkably effective initial coordination and mobilisation despite conditions of uncertainty</w:t>
      </w:r>
    </w:p>
    <w:p>
      <w:pPr>
        <w:spacing w:after="120"/>
        <w:ind w:left="360"/>
      </w:pPr>
      <w:r>
        <w:rPr>
          <w:rFonts w:ascii="Calibri" w:cs="Calibri" w:eastAsia="Calibri" w:hAnsi="Calibri"/>
          <w:i/>
          <w:iCs/>
          <w:sz w:val="20"/>
          <w:szCs w:val="20"/>
        </w:rPr>
        <w:t xml:space="preserve">The Tham Luang case is presented as an example of what successful activation looks like — rapid, coordinated initial mobilisation even when information was incomplete. The chapter uses it as a structural and cultural contrast to Fukushima to illustrate the factors that explain why some organisations close the activation gap effectively.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showed that crises with longer timelines always produce better outcomes than sudden-onset emergencies</w:t>
      </w:r>
    </w:p>
    <w:p>
      <w:pPr>
        <w:spacing w:after="80"/>
        <w:ind w:left="360"/>
      </w:pPr>
      <w:r>
        <w:rPr>
          <w:rFonts w:ascii="Calibri" w:cs="Calibri" w:eastAsia="Calibri" w:hAnsi="Calibri"/>
          <w:i/>
          <w:iCs/>
          <w:sz w:val="20"/>
          <w:szCs w:val="20"/>
        </w:rPr>
        <w:t xml:space="preserve">Students might infer that the cave rescue succeeded simply because it unfolded over days rather than minutes. However, the chapter uses the case to examine the quality of the initial coordination response, not to argue that timeline length determines success.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proved that international organisations are always more effective than national ones in crisis response</w:t>
      </w:r>
    </w:p>
    <w:p>
      <w:pPr>
        <w:spacing w:after="80"/>
        <w:ind w:left="360"/>
      </w:pPr>
      <w:r>
        <w:rPr>
          <w:rFonts w:ascii="Calibri" w:cs="Calibri" w:eastAsia="Calibri" w:hAnsi="Calibri"/>
          <w:i/>
          <w:iCs/>
          <w:sz w:val="20"/>
          <w:szCs w:val="20"/>
        </w:rPr>
        <w:t xml:space="preserve">While international expertise was involved at Tham Luang, the chapter does not use the case to make a blanket claim about international superiority. The focus is on the structural and cultural factors of the initial mobilisation, not on the nationality of responders.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demonstrated that rigid hierarchical command structures are the most reliable model for all crisis types</w:t>
      </w:r>
    </w:p>
    <w:p>
      <w:pPr>
        <w:spacing w:after="80"/>
        <w:ind w:left="360"/>
      </w:pPr>
      <w:r>
        <w:rPr>
          <w:rFonts w:ascii="Calibri" w:cs="Calibri" w:eastAsia="Calibri" w:hAnsi="Calibri"/>
          <w:i/>
          <w:iCs/>
          <w:sz w:val="20"/>
          <w:szCs w:val="20"/>
        </w:rPr>
        <w:t xml:space="preserve">The chapter highlights effective coordination rather than rigid hierarchy as the distinguishing factor. The Tham Luang case illustrates successful mobilisation under ambiguity, which often requires adaptability rather than strict hierarchical control.</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Weick's sensemaking framework, as applied in this chapter to the opening phase of a crisis, is most concerned with which challenge?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How leaders interpret fragmentary and ambiguous initial reports to determine whether a fundamentally different mode of operating is required</w:t>
      </w:r>
    </w:p>
    <w:p>
      <w:pPr>
        <w:spacing w:after="120"/>
        <w:ind w:left="360"/>
      </w:pPr>
      <w:r>
        <w:rPr>
          <w:rFonts w:ascii="Calibri" w:cs="Calibri" w:eastAsia="Calibri" w:hAnsi="Calibri"/>
          <w:i/>
          <w:iCs/>
          <w:sz w:val="20"/>
          <w:szCs w:val="20"/>
        </w:rPr>
        <w:t xml:space="preserve">The chapter revisits Weick's sensemaking framework specifically in the context of the activation decision — the moment when leaders must make sense of incomplete, noisy, and often contradictory early information to decide if the situation exceeds normal operational capacity. This is the applied sensemaking challenge of the first thirty minutes.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How to design post-crisis reports that accurately reconstruct the timeline of events for future training</w:t>
      </w:r>
    </w:p>
    <w:p>
      <w:pPr>
        <w:spacing w:after="80"/>
        <w:ind w:left="360"/>
      </w:pPr>
      <w:r>
        <w:rPr>
          <w:rFonts w:ascii="Calibri" w:cs="Calibri" w:eastAsia="Calibri" w:hAnsi="Calibri"/>
          <w:i/>
          <w:iCs/>
          <w:sz w:val="20"/>
          <w:szCs w:val="20"/>
        </w:rPr>
        <w:t xml:space="preserve">Post-crisis reconstruction is a valuable activity, but Weick's sensemaking framework as applied here concerns the real-time interpretive challenge during the crisis, not retrospective documentation. The chapter focuses on sensemaking in the moment of activation.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How to statistically model the probability of different crisis scenarios before they occur</w:t>
      </w:r>
    </w:p>
    <w:p>
      <w:pPr>
        <w:spacing w:after="80"/>
        <w:ind w:left="360"/>
      </w:pPr>
      <w:r>
        <w:rPr>
          <w:rFonts w:ascii="Calibri" w:cs="Calibri" w:eastAsia="Calibri" w:hAnsi="Calibri"/>
          <w:i/>
          <w:iCs/>
          <w:sz w:val="20"/>
          <w:szCs w:val="20"/>
        </w:rPr>
        <w:t xml:space="preserve">Sensemaking is a qualitative, interpretive process — not a statistical modelling exercise. Students might confuse risk assessment methodologies with the cognitive and social process of making meaning from ambiguous signals in real time.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How media coverage shapes the public narrative during the recovery phase of a crisis</w:t>
      </w:r>
    </w:p>
    <w:p>
      <w:pPr>
        <w:spacing w:after="80"/>
        <w:ind w:left="360"/>
      </w:pPr>
      <w:r>
        <w:rPr>
          <w:rFonts w:ascii="Calibri" w:cs="Calibri" w:eastAsia="Calibri" w:hAnsi="Calibri"/>
          <w:i/>
          <w:iCs/>
          <w:sz w:val="20"/>
          <w:szCs w:val="20"/>
        </w:rPr>
        <w:t xml:space="preserve">Media narrative management is a real crisis concern but falls outside the scope of Weick's sensemaking as applied in this chapter. The focus here is on internal interpretation of early signals during the opening phase, not external communication during recovery.</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What does the chapter identify as a primary reason the gap between 'something is wrong' and 'we are in crisis response mode' is often dangerously wide?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Cognitive and institutional barriers cause decision-makers to normalise early warning signals rather than escalate them</w:t>
      </w:r>
    </w:p>
    <w:p>
      <w:pPr>
        <w:spacing w:after="120"/>
        <w:ind w:left="360"/>
      </w:pPr>
      <w:r>
        <w:rPr>
          <w:rFonts w:ascii="Calibri" w:cs="Calibri" w:eastAsia="Calibri" w:hAnsi="Calibri"/>
          <w:i/>
          <w:iCs/>
          <w:sz w:val="20"/>
          <w:szCs w:val="20"/>
        </w:rPr>
        <w:t xml:space="preserve">The chapter draws on Boin and colleagues' research to show that both cognitive biases (such as normalcy bias) and institutional factors (such as unclear authority structures) systematically delay crisis recognition. Normalising ambiguous signals allows the activation gap to widen, often with severe consequences.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Crisis response plans are typically written in overly technical language that frontline workers cannot understand quickly</w:t>
      </w:r>
    </w:p>
    <w:p>
      <w:pPr>
        <w:spacing w:after="80"/>
        <w:ind w:left="360"/>
      </w:pPr>
      <w:r>
        <w:rPr>
          <w:rFonts w:ascii="Calibri" w:cs="Calibri" w:eastAsia="Calibri" w:hAnsi="Calibri"/>
          <w:i/>
          <w:iCs/>
          <w:sz w:val="20"/>
          <w:szCs w:val="20"/>
        </w:rPr>
        <w:t xml:space="preserve">While plan readability matters, the chapter identifies deeper structural and cognitive barriers — not document readability — as the primary cause of delayed activation. The problem is in recognition and escalation, not in the comprehension of written procedures.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Modern communication technology creates so many channels that messages inevitably take longer to deliver</w:t>
      </w:r>
    </w:p>
    <w:p>
      <w:pPr>
        <w:spacing w:after="80"/>
        <w:ind w:left="360"/>
      </w:pPr>
      <w:r>
        <w:rPr>
          <w:rFonts w:ascii="Calibri" w:cs="Calibri" w:eastAsia="Calibri" w:hAnsi="Calibri"/>
          <w:i/>
          <w:iCs/>
          <w:sz w:val="20"/>
          <w:szCs w:val="20"/>
        </w:rPr>
        <w:t xml:space="preserve">Students might blame technology for delays, but the chapter argues that the barrier is fundamentally about human interpretation and institutional culture, not message delivery speed. Having more communication channels does not inherently widen the activation gap.</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Legal liability concerns require organisations to wait for confirmation from external regulators before activating</w:t>
      </w:r>
    </w:p>
    <w:p>
      <w:pPr>
        <w:spacing w:after="80"/>
        <w:ind w:left="360"/>
      </w:pPr>
      <w:r>
        <w:rPr>
          <w:rFonts w:ascii="Calibri" w:cs="Calibri" w:eastAsia="Calibri" w:hAnsi="Calibri"/>
          <w:i/>
          <w:iCs/>
          <w:sz w:val="20"/>
          <w:szCs w:val="20"/>
        </w:rPr>
        <w:t xml:space="preserve">While legal considerations can influence decision-making, the chapter does not identify mandatory regulatory approval as the primary barrier. The gap is driven by cognitive normalisation and institutional resistance to crisis recognition, not by legally mandated waiting periods.</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The chapter introduces the concept of 'information hierarchy' in the opening phase of a crisis. Which of the following best describes this concept?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 structured determination of who needs to know what information, and in what order, during initial mobilisation</w:t>
      </w:r>
    </w:p>
    <w:p>
      <w:pPr>
        <w:spacing w:after="120"/>
        <w:ind w:left="360"/>
      </w:pPr>
      <w:r>
        <w:rPr>
          <w:rFonts w:ascii="Calibri" w:cs="Calibri" w:eastAsia="Calibri" w:hAnsi="Calibri"/>
          <w:i/>
          <w:iCs/>
          <w:sz w:val="20"/>
          <w:szCs w:val="20"/>
        </w:rPr>
        <w:t xml:space="preserve">Information hierarchy addresses the sequencing and targeting of communication during the chaotic opening phase. It recognises that not everyone needs the same information at the same time, and that establishing a clear order of notification is critical to effective mobilisation. This concept is introduced here and becomes the central focus of the following chapter.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ranking system that classifies crises from minor to catastrophic based on the severity of initial reports</w:t>
      </w:r>
    </w:p>
    <w:p>
      <w:pPr>
        <w:spacing w:after="80"/>
        <w:ind w:left="360"/>
      </w:pPr>
      <w:r>
        <w:rPr>
          <w:rFonts w:ascii="Calibri" w:cs="Calibri" w:eastAsia="Calibri" w:hAnsi="Calibri"/>
          <w:i/>
          <w:iCs/>
          <w:sz w:val="20"/>
          <w:szCs w:val="20"/>
        </w:rPr>
        <w:t xml:space="preserve">Students might confuse information hierarchy with crisis severity classification. While severity assessment is important, information hierarchy specifically concerns the flow and prioritisation of communication among responders, not the categorisation of the crisis itself.</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protocol that ensures the most senior leader always receives every piece of incoming information first</w:t>
      </w:r>
    </w:p>
    <w:p>
      <w:pPr>
        <w:spacing w:after="80"/>
        <w:ind w:left="360"/>
      </w:pPr>
      <w:r>
        <w:rPr>
          <w:rFonts w:ascii="Calibri" w:cs="Calibri" w:eastAsia="Calibri" w:hAnsi="Calibri"/>
          <w:i/>
          <w:iCs/>
          <w:sz w:val="20"/>
          <w:szCs w:val="20"/>
        </w:rPr>
        <w:t xml:space="preserve">This reflects a common misconception that hierarchy means funnelling everything to the top. Information hierarchy is about matching the right information to the right people in the right sequence — not simply routing all data to the most senior person.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database system used to archive crisis communications for post-incident legal review</w:t>
      </w:r>
    </w:p>
    <w:p>
      <w:pPr>
        <w:spacing w:after="80"/>
        <w:ind w:left="360"/>
      </w:pPr>
      <w:r>
        <w:rPr>
          <w:rFonts w:ascii="Calibri" w:cs="Calibri" w:eastAsia="Calibri" w:hAnsi="Calibri"/>
          <w:i/>
          <w:iCs/>
          <w:sz w:val="20"/>
          <w:szCs w:val="20"/>
        </w:rPr>
        <w:t xml:space="preserve">Students might associate 'hierarchy' with formal record-keeping structures. However, the concept concerns real-time communication prioritisation during the opening phase, not archival or documentation processes for later review.</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A factory manager receives a report of unusual fumes in one wing of the facility. Three workers report headaches but no one has collapsed. According to the chapter's framework for information triage, what is the most appropriate initial action?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Treat the reports as potential escalation signals and immediately assess whether the situation could exceed normal operational capacity</w:t>
      </w:r>
    </w:p>
    <w:p>
      <w:pPr>
        <w:spacing w:after="120"/>
        <w:ind w:left="360"/>
      </w:pPr>
      <w:r>
        <w:rPr>
          <w:rFonts w:ascii="Calibri" w:cs="Calibri" w:eastAsia="Calibri" w:hAnsi="Calibri"/>
          <w:i/>
          <w:iCs/>
          <w:sz w:val="20"/>
          <w:szCs w:val="20"/>
        </w:rPr>
        <w:t xml:space="preserve">The chapter emphasises that early signals in a crisis are often ambiguous and easy to dismiss. Effective information triage means evaluating whether fragmentary reports could indicate a developing situation that requires crisis activation, rather than waiting for more dramatic confirmation. The headaches and fumes together form a pattern that warrants escalation assessment.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Wait for additional reports from other wings of the facility to establish a pattern before taking any further steps, as required by facility protocol</w:t>
      </w:r>
    </w:p>
    <w:p>
      <w:pPr>
        <w:spacing w:after="80"/>
        <w:ind w:left="360"/>
      </w:pPr>
      <w:r>
        <w:rPr>
          <w:rFonts w:ascii="Calibri" w:cs="Calibri" w:eastAsia="Calibri" w:hAnsi="Calibri"/>
          <w:i/>
          <w:iCs/>
          <w:sz w:val="20"/>
          <w:szCs w:val="20"/>
        </w:rPr>
        <w:t xml:space="preserve">This reflects the normalisation bias the chapter warns against. Waiting for a more complete picture before acting is precisely the behaviour that widens the activation gap. By the time a clear pattern emerges across the facility, the window for effective early response may have closed.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Log the report in the facility's incident tracking system and schedule a review for the next safety meeting</w:t>
      </w:r>
    </w:p>
    <w:p>
      <w:pPr>
        <w:spacing w:after="80"/>
        <w:ind w:left="360"/>
      </w:pPr>
      <w:r>
        <w:rPr>
          <w:rFonts w:ascii="Calibri" w:cs="Calibri" w:eastAsia="Calibri" w:hAnsi="Calibri"/>
          <w:i/>
          <w:iCs/>
          <w:sz w:val="20"/>
          <w:szCs w:val="20"/>
        </w:rPr>
        <w:t xml:space="preserve">This treats a potential crisis signal as a routine administrative matter. The chapter specifically addresses how bureaucratic normalisation of early warning signs is a common failure mode that delays activation when time is most critical.</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Immediately declare a full facility emergency and evacuate all buildings before gathering any additional information</w:t>
      </w:r>
    </w:p>
    <w:p>
      <w:pPr>
        <w:spacing w:after="80"/>
        <w:ind w:left="360"/>
      </w:pPr>
      <w:r>
        <w:rPr>
          <w:rFonts w:ascii="Calibri" w:cs="Calibri" w:eastAsia="Calibri" w:hAnsi="Calibri"/>
          <w:i/>
          <w:iCs/>
          <w:sz w:val="20"/>
          <w:szCs w:val="20"/>
        </w:rPr>
        <w:t xml:space="preserve">While this errs on the side of caution, the chapter's framework for information triage emphasises assessment and appropriate escalation, not automatic maximum response to every ambiguous signal. Jumping to full activation without any assessment can itself cause harm and degrade future response credibility.</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According to Boin and colleagues' research as discussed in the chapter, which factor most significantly impedes timely crisis recognition within institutions?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Political and institutional dynamics that create disincentives for individuals to escalate uncertain threats</w:t>
      </w:r>
    </w:p>
    <w:p>
      <w:pPr>
        <w:spacing w:after="120"/>
        <w:ind w:left="360"/>
      </w:pPr>
      <w:r>
        <w:rPr>
          <w:rFonts w:ascii="Calibri" w:cs="Calibri" w:eastAsia="Calibri" w:hAnsi="Calibri"/>
          <w:i/>
          <w:iCs/>
          <w:sz w:val="20"/>
          <w:szCs w:val="20"/>
        </w:rPr>
        <w:t xml:space="preserve">Boin and colleagues' research highlights that crisis recognition is not purely a cognitive challenge — it is shaped by political and institutional contexts where declaring a crisis carries risks (reputational, career, political). These dynamics create systematic disincentives to escalate, even when individuals suspect the situation is serious.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lack of standardised international crisis classification systems across different countries</w:t>
      </w:r>
    </w:p>
    <w:p>
      <w:pPr>
        <w:spacing w:after="80"/>
        <w:ind w:left="360"/>
      </w:pPr>
      <w:r>
        <w:rPr>
          <w:rFonts w:ascii="Calibri" w:cs="Calibri" w:eastAsia="Calibri" w:hAnsi="Calibri"/>
          <w:i/>
          <w:iCs/>
          <w:sz w:val="20"/>
          <w:szCs w:val="20"/>
        </w:rPr>
        <w:t xml:space="preserve">While international coordination has challenges, Boin's research focuses on intra-organisational and political barriers to recognition, not on the absence of global classification standards. The barriers are institutional and cultural, not taxonomic.</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Insufficient investment in early warning sensor technology and monitoring equipment</w:t>
      </w:r>
    </w:p>
    <w:p>
      <w:pPr>
        <w:spacing w:after="80"/>
        <w:ind w:left="360"/>
      </w:pPr>
      <w:r>
        <w:rPr>
          <w:rFonts w:ascii="Calibri" w:cs="Calibri" w:eastAsia="Calibri" w:hAnsi="Calibri"/>
          <w:i/>
          <w:iCs/>
          <w:sz w:val="20"/>
          <w:szCs w:val="20"/>
        </w:rPr>
        <w:t xml:space="preserve">Students might assume that better detection technology solves the recognition problem. However, Boin's research emphasises that even when information is available, institutional and political dynamics prevent it from being appropriately acted upon. The barrier is human and organisational, not technological.</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tendency of crisis management researchers to publish findings too slowly for practitioners to apply them</w:t>
      </w:r>
    </w:p>
    <w:p>
      <w:pPr>
        <w:spacing w:after="80"/>
        <w:ind w:left="360"/>
      </w:pPr>
      <w:r>
        <w:rPr>
          <w:rFonts w:ascii="Calibri" w:cs="Calibri" w:eastAsia="Calibri" w:hAnsi="Calibri"/>
          <w:i/>
          <w:iCs/>
          <w:sz w:val="20"/>
          <w:szCs w:val="20"/>
        </w:rPr>
        <w:t xml:space="preserve">This confuses academic dissemination timelines with the operational barriers Boin identifies. The research-practice gap is a real issue in many fields, but it is not what Boin's work identifies as the primary barrier to timely crisis recognition within institutions.</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A regional health authority receives ambiguous reports of an unusual illness cluster. The duty officer wants to activate the crisis team, but no one is certain who has the formal authority to do so outside business hours. This scenario best illustrates which concept from the chapter?</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challenge of role clarity under ambiguity, where formal structures prove insufficient when activation authority is unclear</w:t>
      </w:r>
    </w:p>
    <w:p>
      <w:pPr>
        <w:spacing w:after="120"/>
        <w:ind w:left="360"/>
      </w:pPr>
      <w:r>
        <w:rPr>
          <w:rFonts w:ascii="Calibri" w:cs="Calibri" w:eastAsia="Calibri" w:hAnsi="Calibri"/>
          <w:i/>
          <w:iCs/>
          <w:sz w:val="20"/>
          <w:szCs w:val="20"/>
        </w:rPr>
        <w:t xml:space="preserve">This scenario directly illustrates the chapter's discussion of role clarity — the problem of 'who picks up the phone, who has authority to activate, and what happens when the answer is unclear.' When formal authority lines are ambiguous, particularly outside normal operating conditions, the activation gap widens even when individuals recognise the threat.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failure of information hierarchy, because the duty officer has received too much information to process effectively</w:t>
      </w:r>
    </w:p>
    <w:p>
      <w:pPr>
        <w:spacing w:after="80"/>
        <w:ind w:left="360"/>
      </w:pPr>
      <w:r>
        <w:rPr>
          <w:rFonts w:ascii="Calibri" w:cs="Calibri" w:eastAsia="Calibri" w:hAnsi="Calibri"/>
          <w:i/>
          <w:iCs/>
          <w:sz w:val="20"/>
          <w:szCs w:val="20"/>
        </w:rPr>
        <w:t xml:space="preserve">The scenario does not describe information overload — it describes authority ambiguity. The duty officer's problem is not that there is too much information, but that nobody is certain who is authorised to act on it. This is a role clarity issue, not an information hierarchy failure.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inadequacy of Weick's sensemaking framework for health-related emergencies specifically</w:t>
      </w:r>
    </w:p>
    <w:p>
      <w:pPr>
        <w:spacing w:after="80"/>
        <w:ind w:left="360"/>
      </w:pPr>
      <w:r>
        <w:rPr>
          <w:rFonts w:ascii="Calibri" w:cs="Calibri" w:eastAsia="Calibri" w:hAnsi="Calibri"/>
          <w:i/>
          <w:iCs/>
          <w:sz w:val="20"/>
          <w:szCs w:val="20"/>
        </w:rPr>
        <w:t xml:space="preserve">Nothing in the scenario suggests a limitation of sensemaking theory for health contexts. The problem is structural — unclear authority for activation — not a failure of interpretive frameworks. Weick's framework applies across crisis types.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problem of activation thresholds being set too high, requiring overwhelming evidence before any response is permitted</w:t>
      </w:r>
    </w:p>
    <w:p>
      <w:pPr>
        <w:spacing w:after="80"/>
        <w:ind w:left="360"/>
      </w:pPr>
      <w:r>
        <w:rPr>
          <w:rFonts w:ascii="Calibri" w:cs="Calibri" w:eastAsia="Calibri" w:hAnsi="Calibri"/>
          <w:i/>
          <w:iCs/>
          <w:sz w:val="20"/>
          <w:szCs w:val="20"/>
        </w:rPr>
        <w:t xml:space="preserve">While high thresholds can cause delays, this scenario's core issue is that no one knows who holds the authority to activate, regardless of what the threshold is. The threshold may be appropriately set, but the ambiguity about who can trigger it creates the paralysis.</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The chapter argues that 'the first thirty minutes set the trajectory for everything that follows.' Which reasoning best supports this claim?</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Decisions made during the activation phase constrain the range of response options available later, making early errors progressively harder to correct</w:t>
      </w:r>
    </w:p>
    <w:p>
      <w:pPr>
        <w:spacing w:after="120"/>
        <w:ind w:left="360"/>
      </w:pPr>
      <w:r>
        <w:rPr>
          <w:rFonts w:ascii="Calibri" w:cs="Calibri" w:eastAsia="Calibri" w:hAnsi="Calibri"/>
          <w:i/>
          <w:iCs/>
          <w:sz w:val="20"/>
          <w:szCs w:val="20"/>
        </w:rPr>
        <w:t xml:space="preserve">The chapter's central argument is that the opening phase is where the most consequential decisions are made. Early choices about activation, mobilisation, and information flow create path dependencies — they shape what resources are available, what organisational structures are engaged, and what response trajectories become possible or impossible as the crisis unfolds.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Media coverage is always most intense in the first thirty minutes, so public perception is permanently fixed during this window</w:t>
      </w:r>
    </w:p>
    <w:p>
      <w:pPr>
        <w:spacing w:after="80"/>
        <w:ind w:left="360"/>
      </w:pPr>
      <w:r>
        <w:rPr>
          <w:rFonts w:ascii="Calibri" w:cs="Calibri" w:eastAsia="Calibri" w:hAnsi="Calibri"/>
          <w:i/>
          <w:iCs/>
          <w:sz w:val="20"/>
          <w:szCs w:val="20"/>
        </w:rPr>
        <w:t xml:space="preserve">While media attention can be early and impactful, the chapter does not argue that public perception is permanently fixed in thirty minutes. The trajectory argument is about operational and decision-making path dependencies, not media narrative formation.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Human memory is most accurate in the first thirty minutes, so all witness testimony gathered later becomes unreliable</w:t>
      </w:r>
    </w:p>
    <w:p>
      <w:pPr>
        <w:spacing w:after="80"/>
        <w:ind w:left="360"/>
      </w:pPr>
      <w:r>
        <w:rPr>
          <w:rFonts w:ascii="Calibri" w:cs="Calibri" w:eastAsia="Calibri" w:hAnsi="Calibri"/>
          <w:i/>
          <w:iCs/>
          <w:sz w:val="20"/>
          <w:szCs w:val="20"/>
        </w:rPr>
        <w:t xml:space="preserve">Memory research is not the basis for the chapter's argument. The trajectory claim concerns how early decisions constrain future options, not the reliability of witness recall. This confuses a forensic evidence concern with a crisis management principle.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Regulatory agencies typically require a preliminary incident report within thirty minutes, after which legal liability is formally assigned</w:t>
      </w:r>
    </w:p>
    <w:p>
      <w:pPr>
        <w:spacing w:after="80"/>
        <w:ind w:left="360"/>
      </w:pPr>
      <w:r>
        <w:rPr>
          <w:rFonts w:ascii="Calibri" w:cs="Calibri" w:eastAsia="Calibri" w:hAnsi="Calibri"/>
          <w:i/>
          <w:iCs/>
          <w:sz w:val="20"/>
          <w:szCs w:val="20"/>
        </w:rPr>
        <w:t xml:space="preserve">This invents a specific regulatory requirement that the chapter does not reference. The thirty-minute framing is about the operational dynamics of activation and mobilisation, not about compliance deadlines or legal liability timelines.</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2026-02-20T06:06:02.126Z</dcterms:created>
  <dcterms:modified xsi:type="dcterms:W3CDTF">2026-02-20T06:06:02.126Z</dcterms:modified>
</cp:coreProperties>
</file>

<file path=docProps/custom.xml><?xml version="1.0" encoding="utf-8"?>
<Properties xmlns="http://schemas.openxmlformats.org/officeDocument/2006/custom-properties" xmlns:vt="http://schemas.openxmlformats.org/officeDocument/2006/docPropsVTypes"/>
</file>