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Who Needs to Know What, and When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Boin and colleagues, what is the most significant limitation of using a standard power-interest grid for stakeholder mapping during a crisis?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Stakeholder salience shifts dramatically during a crisis, making static mappings inaccurate</w:t>
      </w:r>
    </w:p>
    <w:p>
      <w:pPr>
        <w:spacing w:after="120"/>
        <w:ind w:left="360"/>
      </w:pPr>
      <w:r>
        <w:rPr>
          <w:rFonts w:ascii="Calibri" w:cs="Calibri" w:eastAsia="Calibri" w:hAnsi="Calibri"/>
          <w:i/>
          <w:iCs/>
          <w:sz w:val="20"/>
          <w:szCs w:val="20"/>
        </w:rPr>
        <w:t xml:space="preserve">Boin and colleagues emphasize that crisis conditions fundamentally alter who matters and how much influence they have. People who are irrelevant in normal operations can become central players, while those who normally hold authority may find their influence evaporated — making any pre-crisis static mapping unreliable.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Power-interest grids cannot accommodate more than four categories of stakeholders</w:t>
      </w:r>
    </w:p>
    <w:p>
      <w:pPr>
        <w:spacing w:after="80"/>
        <w:ind w:left="360"/>
      </w:pPr>
      <w:r>
        <w:rPr>
          <w:rFonts w:ascii="Calibri" w:cs="Calibri" w:eastAsia="Calibri" w:hAnsi="Calibri"/>
          <w:i/>
          <w:iCs/>
          <w:sz w:val="20"/>
          <w:szCs w:val="20"/>
        </w:rPr>
        <w:t xml:space="preserve">While power-interest grids do use a two-by-two structure, the chapter's critique is not about the number of categories but about the static nature of the mapping failing to capture how stakeholder importance changes under crisis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Power-interest grids focus too heavily on external stakeholders and ignore internal ones</w:t>
      </w:r>
    </w:p>
    <w:p>
      <w:pPr>
        <w:spacing w:after="80"/>
        <w:ind w:left="360"/>
      </w:pPr>
      <w:r>
        <w:rPr>
          <w:rFonts w:ascii="Calibri" w:cs="Calibri" w:eastAsia="Calibri" w:hAnsi="Calibri"/>
          <w:i/>
          <w:iCs/>
          <w:sz w:val="20"/>
          <w:szCs w:val="20"/>
        </w:rPr>
        <w:t xml:space="preserve">Standard power-interest grids can include both internal and external stakeholders. The chapter's central critique is about the dynamic nature of stakeholder salience during crisis, not the internal-external distinction.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Power-interest grids are designed for corporate settings and cannot be applied to government agencies</w:t>
      </w:r>
    </w:p>
    <w:p>
      <w:pPr>
        <w:spacing w:after="80"/>
        <w:ind w:left="360"/>
      </w:pPr>
      <w:r>
        <w:rPr>
          <w:rFonts w:ascii="Calibri" w:cs="Calibri" w:eastAsia="Calibri" w:hAnsi="Calibri"/>
          <w:i/>
          <w:iCs/>
          <w:sz w:val="20"/>
          <w:szCs w:val="20"/>
        </w:rPr>
        <w:t xml:space="preserve">Power-interest grids are used across sectors, including government. The chapter's concern is not about sector applicability but about the fundamental problem that stakeholder positions on any static grid shift rapidly during a crisis.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does the concept of 'information fidelity matched to decision authority' mean in the context of crisis information hierarchy?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level of detail in information should correspond to the decision-making role of the person receiving it</w:t>
      </w:r>
    </w:p>
    <w:p>
      <w:pPr>
        <w:spacing w:after="120"/>
        <w:ind w:left="360"/>
      </w:pPr>
      <w:r>
        <w:rPr>
          <w:rFonts w:ascii="Calibri" w:cs="Calibri" w:eastAsia="Calibri" w:hAnsi="Calibri"/>
          <w:i/>
          <w:iCs/>
          <w:sz w:val="20"/>
          <w:szCs w:val="20"/>
        </w:rPr>
        <w:t xml:space="preserve">Information hierarchy requires that technical granularity be matched to the recipient's decision-making needs. A frontline technical specialist needs raw, detailed data to execute tasks, while a strategic decision-maker needs synthesized information that supports high-level choices. Mismatching fidelity to authority degrades decision quality at every level.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the most senior decision-makers should receive the most accurate information</w:t>
      </w:r>
    </w:p>
    <w:p>
      <w:pPr>
        <w:spacing w:after="80"/>
        <w:ind w:left="360"/>
      </w:pPr>
      <w:r>
        <w:rPr>
          <w:rFonts w:ascii="Calibri" w:cs="Calibri" w:eastAsia="Calibri" w:hAnsi="Calibri"/>
          <w:i/>
          <w:iCs/>
          <w:sz w:val="20"/>
          <w:szCs w:val="20"/>
        </w:rPr>
        <w:t xml:space="preserve">This confuses fidelity (level of detail) with accuracy. All levels need accurate information, but the degree of technical detail should vary. Frontline responders may need more granular data than senior leaders, who need synthesized summaries to support strategic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Information should be verified for accuracy before being shared with any authority, following established organizational protocols</w:t>
      </w:r>
    </w:p>
    <w:p>
      <w:pPr>
        <w:spacing w:after="80"/>
        <w:ind w:left="360"/>
      </w:pPr>
      <w:r>
        <w:rPr>
          <w:rFonts w:ascii="Calibri" w:cs="Calibri" w:eastAsia="Calibri" w:hAnsi="Calibri"/>
          <w:i/>
          <w:iCs/>
          <w:sz w:val="20"/>
          <w:szCs w:val="20"/>
        </w:rPr>
        <w:t xml:space="preserve">While verification matters, this describes information quality control rather than the concept of matching information fidelity to decision authority. The concept specifically addresses how the level of detail should correspond to the recipient's decision-making role.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Higher-fidelity communication channels like face-to-face meetings should be reserved for senior leaders</w:t>
      </w:r>
    </w:p>
    <w:p>
      <w:pPr>
        <w:spacing w:after="80"/>
        <w:ind w:left="360"/>
      </w:pPr>
      <w:r>
        <w:rPr>
          <w:rFonts w:ascii="Calibri" w:cs="Calibri" w:eastAsia="Calibri" w:hAnsi="Calibri"/>
          <w:i/>
          <w:iCs/>
          <w:sz w:val="20"/>
          <w:szCs w:val="20"/>
        </w:rPr>
        <w:t xml:space="preserve">This confuses communication channel richness with information fidelity. In this context, fidelity refers to the level of detail and granularity of the information content, not the medium through which it is delivered.</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During the Fukushima Daiichi disaster, what specific information management failure does the chapter identify as most consequential?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Critical technical information was trapped in silos while national-level decision-makers operated on inaccurate assumptions about plant conditions</w:t>
      </w:r>
    </w:p>
    <w:p>
      <w:pPr>
        <w:spacing w:after="120"/>
        <w:ind w:left="360"/>
      </w:pPr>
      <w:r>
        <w:rPr>
          <w:rFonts w:ascii="Calibri" w:cs="Calibri" w:eastAsia="Calibri" w:hAnsi="Calibri"/>
          <w:i/>
          <w:iCs/>
          <w:sz w:val="20"/>
          <w:szCs w:val="20"/>
        </w:rPr>
        <w:t xml:space="preserve">The Fukushima case illustrates the danger of information silos in crisis — technical knowledge about actual plant conditions existed at the operational level but failed to reach national-level decision-makers in time. As a result, strategic decisions were made based on assumptions that bore no relationship to reality on the ground.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National-level decision-makers received too much technical information and became overwhelmed by cognitive overload</w:t>
      </w:r>
    </w:p>
    <w:p>
      <w:pPr>
        <w:spacing w:after="80"/>
        <w:ind w:left="360"/>
      </w:pPr>
      <w:r>
        <w:rPr>
          <w:rFonts w:ascii="Calibri" w:cs="Calibri" w:eastAsia="Calibri" w:hAnsi="Calibri"/>
          <w:i/>
          <w:iCs/>
          <w:sz w:val="20"/>
          <w:szCs w:val="20"/>
        </w:rPr>
        <w:t xml:space="preserve">The Fukushima problem was actually the opposite — national-level decision-makers received too little technical information, not too much. They were making decisions based on assumptions because critical data never reached them from the operational silos.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Japanese government deliberately withheld information from international agencies to protect national reputation</w:t>
      </w:r>
    </w:p>
    <w:p>
      <w:pPr>
        <w:spacing w:after="80"/>
        <w:ind w:left="360"/>
      </w:pPr>
      <w:r>
        <w:rPr>
          <w:rFonts w:ascii="Calibri" w:cs="Calibri" w:eastAsia="Calibri" w:hAnsi="Calibri"/>
          <w:i/>
          <w:iCs/>
          <w:sz w:val="20"/>
          <w:szCs w:val="20"/>
        </w:rPr>
        <w:t xml:space="preserve">The chapter frames Fukushima as a structural information architecture failure — technical data trapped in silos — rather than a deliberate concealment strategy. The problem was that information flow systems failed to connect operational reality with strategic decision-making.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Emergency communication channels were physically destroyed by the tsunami, making information transfer impossible</w:t>
      </w:r>
    </w:p>
    <w:p>
      <w:pPr>
        <w:spacing w:after="80"/>
        <w:ind w:left="360"/>
      </w:pPr>
      <w:r>
        <w:rPr>
          <w:rFonts w:ascii="Calibri" w:cs="Calibri" w:eastAsia="Calibri" w:hAnsi="Calibri"/>
          <w:i/>
          <w:iCs/>
          <w:sz w:val="20"/>
          <w:szCs w:val="20"/>
        </w:rPr>
        <w:t xml:space="preserve">While infrastructure damage occurred, the chapter specifically highlights the organizational and structural failure of information siloing, not physical infrastructure destruction, as the consequential information management problem at Fukushima.</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the Grenfell Tower case, what does the chapter identify as the core information hierarchy problem among responders?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Different responders operated with different situational pictures because a shared information hierarchy had not been established</w:t>
      </w:r>
    </w:p>
    <w:p>
      <w:pPr>
        <w:spacing w:after="120"/>
        <w:ind w:left="360"/>
      </w:pPr>
      <w:r>
        <w:rPr>
          <w:rFonts w:ascii="Calibri" w:cs="Calibri" w:eastAsia="Calibri" w:hAnsi="Calibri"/>
          <w:i/>
          <w:iCs/>
          <w:sz w:val="20"/>
          <w:szCs w:val="20"/>
        </w:rPr>
        <w:t xml:space="preserve">The Grenfell Tower response failed partly because responding agencies did not share a common operational picture. Without an established information hierarchy determining who receives what information and when, each agency constructed its own understanding of the situation, leading to fragmented and potentially contradictory response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Senior commanders deliberately restricted information flow to maintain operational control over frontline responders</w:t>
      </w:r>
    </w:p>
    <w:p>
      <w:pPr>
        <w:spacing w:after="80"/>
        <w:ind w:left="360"/>
      </w:pPr>
      <w:r>
        <w:rPr>
          <w:rFonts w:ascii="Calibri" w:cs="Calibri" w:eastAsia="Calibri" w:hAnsi="Calibri"/>
          <w:i/>
          <w:iCs/>
          <w:sz w:val="20"/>
          <w:szCs w:val="20"/>
        </w:rPr>
        <w:t xml:space="preserve">The chapter does not characterize Grenfell as a deliberate restriction problem. Rather, the failure was structural — no shared information hierarchy existed to ensure all responders worked from the same situational picture, resulting in fragmented awareness across agencies.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Responders had access to the same information but interpreted it differently due to insufficient training</w:t>
      </w:r>
    </w:p>
    <w:p>
      <w:pPr>
        <w:spacing w:after="80"/>
        <w:ind w:left="360"/>
      </w:pPr>
      <w:r>
        <w:rPr>
          <w:rFonts w:ascii="Calibri" w:cs="Calibri" w:eastAsia="Calibri" w:hAnsi="Calibri"/>
          <w:i/>
          <w:iCs/>
          <w:sz w:val="20"/>
          <w:szCs w:val="20"/>
        </w:rPr>
        <w:t xml:space="preserve">The chapter's analysis focuses on the absence of a shared information hierarchy, meaning responders were literally working from different information sets — not that they had the same information and interpreted it differently.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Media leaks compromised the information hierarchy, forcing responders to react to public reports rather than operational intelligence</w:t>
      </w:r>
    </w:p>
    <w:p>
      <w:pPr>
        <w:spacing w:after="80"/>
        <w:ind w:left="360"/>
      </w:pPr>
      <w:r>
        <w:rPr>
          <w:rFonts w:ascii="Calibri" w:cs="Calibri" w:eastAsia="Calibri" w:hAnsi="Calibri"/>
          <w:i/>
          <w:iCs/>
          <w:sz w:val="20"/>
          <w:szCs w:val="20"/>
        </w:rPr>
        <w:t xml:space="preserve">The chapter does not attribute the Grenfell coordination failure to media interference. The core problem was internal — responding agencies lacked a common information hierarchy and therefore operated with divergent situational awareness.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How does the chapter connect cognitive load theory to the practice of information filtering during a crisis?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Every piece of information routed to a decision-maker either supports or degrades their capacity to decide, so filtering must protect cognitive bandwidth</w:t>
      </w:r>
    </w:p>
    <w:p>
      <w:pPr>
        <w:spacing w:after="120"/>
        <w:ind w:left="360"/>
      </w:pPr>
      <w:r>
        <w:rPr>
          <w:rFonts w:ascii="Calibri" w:cs="Calibri" w:eastAsia="Calibri" w:hAnsi="Calibri"/>
          <w:i/>
          <w:iCs/>
          <w:sz w:val="20"/>
          <w:szCs w:val="20"/>
        </w:rPr>
        <w:t xml:space="preserve">Drawing on cognitive load theory from Chapter 3, the chapter establishes that decision-makers have finite cognitive capacity. Information filtering is not merely administrative — it directly affects decision quality. Routing irrelevant or excessively detailed information to a leader consumes cognitive resources that should be devoted to critical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Cognitive load theory suggests that decision-makers should receive all available information so they can filter it themselves</w:t>
      </w:r>
    </w:p>
    <w:p>
      <w:pPr>
        <w:spacing w:after="80"/>
        <w:ind w:left="360"/>
      </w:pPr>
      <w:r>
        <w:rPr>
          <w:rFonts w:ascii="Calibri" w:cs="Calibri" w:eastAsia="Calibri" w:hAnsi="Calibri"/>
          <w:i/>
          <w:iCs/>
          <w:sz w:val="20"/>
          <w:szCs w:val="20"/>
        </w:rPr>
        <w:t xml:space="preserve">This is the opposite of what cognitive load theory prescribes. The entire point is that decision-makers have finite cognitive capacity, so pre-filtering information before it reaches them is essential to preserving their ability to make sound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Cognitive load theory indicates that emotional information should be filtered out because it impairs rational decision-making</w:t>
      </w:r>
    </w:p>
    <w:p>
      <w:pPr>
        <w:spacing w:after="80"/>
        <w:ind w:left="360"/>
      </w:pPr>
      <w:r>
        <w:rPr>
          <w:rFonts w:ascii="Calibri" w:cs="Calibri" w:eastAsia="Calibri" w:hAnsi="Calibri"/>
          <w:i/>
          <w:iCs/>
          <w:sz w:val="20"/>
          <w:szCs w:val="20"/>
        </w:rPr>
        <w:t xml:space="preserve">The chapter's application of cognitive load theory is about managing the volume and relevance of information to protect decision capacity, not about separating emotional from rational content. Emotional information may in fact be highly relevant to crisis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Cognitive load theory shows that repeated exposure to the same information improves retention, so critical messages should be duplicated across channels</w:t>
      </w:r>
    </w:p>
    <w:p>
      <w:pPr>
        <w:spacing w:after="80"/>
        <w:ind w:left="360"/>
      </w:pPr>
      <w:r>
        <w:rPr>
          <w:rFonts w:ascii="Calibri" w:cs="Calibri" w:eastAsia="Calibri" w:hAnsi="Calibri"/>
          <w:i/>
          <w:iCs/>
          <w:sz w:val="20"/>
          <w:szCs w:val="20"/>
        </w:rPr>
        <w:t xml:space="preserve">While repetition can aid memory, the chapter applies cognitive load theory to argue for careful filtering that reduces unnecessary information burden. Duplicating messages across channels would increase cognitive load rather than protect decision-making capacity.</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Incompatible terminology and communication protocols creating barriers to shared situational awareness</w:t>
      </w:r>
    </w:p>
    <w:p>
      <w:pPr>
        <w:spacing w:after="120"/>
        <w:ind w:left="360"/>
      </w:pPr>
      <w:r>
        <w:rPr>
          <w:rFonts w:ascii="Calibri" w:cs="Calibri" w:eastAsia="Calibri" w:hAnsi="Calibri"/>
          <w:i/>
          <w:iCs/>
          <w:sz w:val="20"/>
          <w:szCs w:val="20"/>
        </w:rPr>
        <w:t xml:space="preserve">The chapter identifies different terminology, communication protocols, and institutional assumptions as specific coordination failure points in multi-agency response. When organizations cannot speak a common operational language or communicate through compatible systems, they cannot build the shared situational picture that effective coordination requires.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Failure to establish a unified command structure with a single designated incident commander</w:t>
      </w:r>
    </w:p>
    <w:p>
      <w:pPr>
        <w:spacing w:after="80"/>
        <w:ind w:left="360"/>
      </w:pPr>
      <w:r>
        <w:rPr>
          <w:rFonts w:ascii="Calibri" w:cs="Calibri" w:eastAsia="Calibri" w:hAnsi="Calibri"/>
          <w:i/>
          <w:iCs/>
          <w:sz w:val="20"/>
          <w:szCs w:val="20"/>
        </w:rPr>
        <w:t xml:space="preserve">While unified command is important, this scenario specifically describes a terminology and protocol incompatibility problem. Even with a single incident commander, the response would struggle if agencies literally cannot understand each other's zone designations or communicate on shared frequencies.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Insufficient pre-crisis stakeholder mapping leading to exclusion of key agencies from the response</w:t>
      </w:r>
    </w:p>
    <w:p>
      <w:pPr>
        <w:spacing w:after="80"/>
        <w:ind w:left="360"/>
      </w:pPr>
      <w:r>
        <w:rPr>
          <w:rFonts w:ascii="Calibri" w:cs="Calibri" w:eastAsia="Calibri" w:hAnsi="Calibri"/>
          <w:i/>
          <w:iCs/>
          <w:sz w:val="20"/>
          <w:szCs w:val="20"/>
        </w:rPr>
        <w:t xml:space="preserve">All three agencies are present in the response, so exclusion is not the issue. The problem is that even when the right agencies are involved, incompatible operational languages and communication systems prevent them from effectively coordinating.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Information overload at the strategic level caused by receiving unfiltered operational data from three agencies simultaneously</w:t>
      </w:r>
    </w:p>
    <w:p>
      <w:pPr>
        <w:spacing w:after="80"/>
        <w:ind w:left="360"/>
      </w:pPr>
      <w:r>
        <w:rPr>
          <w:rFonts w:ascii="Calibri" w:cs="Calibri" w:eastAsia="Calibri" w:hAnsi="Calibri"/>
          <w:i/>
          <w:iCs/>
          <w:sz w:val="20"/>
          <w:szCs w:val="20"/>
        </w:rPr>
        <w:t xml:space="preserve">The scenario describes a compatibility problem at the operational level — different terms for the same zones and incompatible radio systems — not an information overload problem at the strategic level. The agencies cannot effectively share information at all, which is distinct from sharing too much.</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When filtering prevents decision-makers from understanding the actual scope or trajectory of the crisis, creating blind spots</w:t>
      </w:r>
    </w:p>
    <w:p>
      <w:pPr>
        <w:spacing w:after="120"/>
        <w:ind w:left="360"/>
      </w:pPr>
      <w:r>
        <w:rPr>
          <w:rFonts w:ascii="Calibri" w:cs="Calibri" w:eastAsia="Calibri" w:hAnsi="Calibri"/>
          <w:i/>
          <w:iCs/>
          <w:sz w:val="20"/>
          <w:szCs w:val="20"/>
        </w:rPr>
        <w:t xml:space="preserve">The chapter distinguishes between filtering that protects decision quality by reducing noise and filtering that creates dangerous blind spots by depriving leaders of information they need to grasp the crisis's true nature. Withholding uncertain casualty data becomes dangerous if the CEO needs to understand the crisis trajectory to make resource or communication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the withheld information later turns out to have been accurate, because this proves the filter was unnecessary</w:t>
      </w:r>
    </w:p>
    <w:p>
      <w:pPr>
        <w:spacing w:after="80"/>
        <w:ind w:left="360"/>
      </w:pPr>
      <w:r>
        <w:rPr>
          <w:rFonts w:ascii="Calibri" w:cs="Calibri" w:eastAsia="Calibri" w:hAnsi="Calibri"/>
          <w:i/>
          <w:iCs/>
          <w:sz w:val="20"/>
          <w:szCs w:val="20"/>
        </w:rPr>
        <w:t xml:space="preserve">Whether filtering was appropriate cannot be judged by hindsight accuracy. The chapter frames the danger in terms of whether the filter deprives decision-makers of information needed to understand the crisis scope in real time, not whether the data eventually proved correct.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the media obtains the withheld information first and publishes it before the CEO is informed</w:t>
      </w:r>
    </w:p>
    <w:p>
      <w:pPr>
        <w:spacing w:after="80"/>
        <w:ind w:left="360"/>
      </w:pPr>
      <w:r>
        <w:rPr>
          <w:rFonts w:ascii="Calibri" w:cs="Calibri" w:eastAsia="Calibri" w:hAnsi="Calibri"/>
          <w:i/>
          <w:iCs/>
          <w:sz w:val="20"/>
          <w:szCs w:val="20"/>
        </w:rPr>
        <w:t xml:space="preserve">While media leaks create reputational problems, the chapter defines dangerous filtering more broadly — as any filtering that creates blind spots in a leader's understanding of the crisis. Media exposure is a consequence, not the defining criterion of whether filtering was harmful.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more than two people in the chain of command are involved in the filtering decision without documented approval authority</w:t>
      </w:r>
    </w:p>
    <w:p>
      <w:pPr>
        <w:spacing w:after="80"/>
        <w:ind w:left="360"/>
      </w:pPr>
      <w:r>
        <w:rPr>
          <w:rFonts w:ascii="Calibri" w:cs="Calibri" w:eastAsia="Calibri" w:hAnsi="Calibri"/>
          <w:i/>
          <w:iCs/>
          <w:sz w:val="20"/>
          <w:szCs w:val="20"/>
        </w:rPr>
        <w:t xml:space="preserve">The chapter does not define dangerous filtering by the number of people involved in the decision. The critical distinction is whether the filtering protects cognitive bandwidth for better decisions or whether it deprives the leader of information essential to understanding the crisis.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Matching information routing to the specific decision needs of each stakeholder at each phase of the crisis</w:t>
      </w:r>
    </w:p>
    <w:p>
      <w:pPr>
        <w:spacing w:after="120"/>
        <w:ind w:left="360"/>
      </w:pPr>
      <w:r>
        <w:rPr>
          <w:rFonts w:ascii="Calibri" w:cs="Calibri" w:eastAsia="Calibri" w:hAnsi="Calibri"/>
          <w:i/>
          <w:iCs/>
          <w:sz w:val="20"/>
          <w:szCs w:val="20"/>
        </w:rPr>
        <w:t xml:space="preserve">Effective crisis information architecture requires deliberate routing — determining who needs what information, in what order, with what level of detail, and through which channels. The Black Summer failure demonstrates that even when information exists within the system, it degrades the response if it reaches the wrong recipients or arrives at the wrong time relative to their decision needs.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Ensuring all stakeholders receive identical information simultaneously to maintain transparency and organizational accountability</w:t>
      </w:r>
    </w:p>
    <w:p>
      <w:pPr>
        <w:spacing w:after="80"/>
        <w:ind w:left="360"/>
      </w:pPr>
      <w:r>
        <w:rPr>
          <w:rFonts w:ascii="Calibri" w:cs="Calibri" w:eastAsia="Calibri" w:hAnsi="Calibri"/>
          <w:i/>
          <w:iCs/>
          <w:sz w:val="20"/>
          <w:szCs w:val="20"/>
        </w:rPr>
        <w:t xml:space="preserve">The chapter explicitly argues against a one-size-fits-all approach to information distribution. Different stakeholders need different information at different times and in different levels of detail. Broadcasting everything to everyone was part of the problem in the Black Summer response, not the solution.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Restricting information flow to a single centralized command post to prevent duplication and confusion</w:t>
      </w:r>
    </w:p>
    <w:p>
      <w:pPr>
        <w:spacing w:after="80"/>
        <w:ind w:left="360"/>
      </w:pPr>
      <w:r>
        <w:rPr>
          <w:rFonts w:ascii="Calibri" w:cs="Calibri" w:eastAsia="Calibri" w:hAnsi="Calibri"/>
          <w:i/>
          <w:iCs/>
          <w:sz w:val="20"/>
          <w:szCs w:val="20"/>
        </w:rPr>
        <w:t xml:space="preserve">Over-centralizing information can create bottlenecks and silos — problems the chapter identifies in other cases like Fukushima. The principle violated in Black Summer was about proper routing and timing, not about centralizing all information in one location.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Prioritizing speed of information delivery over accuracy to ensure decision-makers can act quickly</w:t>
      </w:r>
    </w:p>
    <w:p>
      <w:pPr>
        <w:spacing w:after="80"/>
        <w:ind w:left="360"/>
      </w:pPr>
      <w:r>
        <w:rPr>
          <w:rFonts w:ascii="Calibri" w:cs="Calibri" w:eastAsia="Calibri" w:hAnsi="Calibri"/>
          <w:i/>
          <w:iCs/>
          <w:sz w:val="20"/>
          <w:szCs w:val="20"/>
        </w:rPr>
        <w:t xml:space="preserve">The Black Summer problem was not about speed versus accuracy but about routing — information reaching the wrong people at the wrong time. The chapter frames effective information architecture as matching content, recipients, timing, and channels to decision needs.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Pre-crisis stakeholder maps must be treated as starting hypotheses that require rapid reassessment once a crisis materializes</w:t>
      </w:r>
    </w:p>
    <w:p>
      <w:pPr>
        <w:spacing w:after="120"/>
        <w:ind w:left="360"/>
      </w:pPr>
      <w:r>
        <w:rPr>
          <w:rFonts w:ascii="Calibri" w:cs="Calibri" w:eastAsia="Calibri" w:hAnsi="Calibri"/>
          <w:i/>
          <w:iCs/>
          <w:sz w:val="20"/>
          <w:szCs w:val="20"/>
        </w:rPr>
        <w:t xml:space="preserve">This scenario exemplifies Boin and colleagues' insight that stakeholder salience shifts dramatically during a crisis. A community group with little perceived importance during planning becomes critical when their local knowledge is essential for operational decisions. Dynamic stakeholder mapping requires treating initial maps as starting points that must be actively updated as the crisis reveals who truly matters.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Community groups should always be classified as high-salience stakeholders regardless of crisis conditions</w:t>
      </w:r>
    </w:p>
    <w:p>
      <w:pPr>
        <w:spacing w:after="80"/>
        <w:ind w:left="360"/>
      </w:pPr>
      <w:r>
        <w:rPr>
          <w:rFonts w:ascii="Calibri" w:cs="Calibri" w:eastAsia="Calibri" w:hAnsi="Calibri"/>
          <w:i/>
          <w:iCs/>
          <w:sz w:val="20"/>
          <w:szCs w:val="20"/>
        </w:rPr>
        <w:t xml:space="preserve">The chapter does not argue for permanently elevating any stakeholder category. The point is that salience is context-dependent and dynamic — the same community group might be irrelevant in a cyberattack scenario but critical in a flood. Universal high-salience classification defeats the purpose of mapping.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emergency manager failed because she should have consulted the community group during the pre-crisis planning phase</w:t>
      </w:r>
    </w:p>
    <w:p>
      <w:pPr>
        <w:spacing w:after="80"/>
        <w:ind w:left="360"/>
      </w:pPr>
      <w:r>
        <w:rPr>
          <w:rFonts w:ascii="Calibri" w:cs="Calibri" w:eastAsia="Calibri" w:hAnsi="Calibri"/>
          <w:i/>
          <w:iCs/>
          <w:sz w:val="20"/>
          <w:szCs w:val="20"/>
        </w:rPr>
        <w:t xml:space="preserve">While broader consultation is valuable, the chapter's key lesson is about the inherent unpredictability of stakeholder salience shifts during crisis. Even comprehensive pre-crisis consultation cannot fully anticipate which stakeholders will become critical once a specific crisis unfolds.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demonstrates that stakeholder mapping is unreliable and should be replaced by real-time information gathering during the crisis itself</w:t>
      </w:r>
    </w:p>
    <w:p>
      <w:pPr>
        <w:spacing w:after="80"/>
        <w:ind w:left="360"/>
      </w:pPr>
      <w:r>
        <w:rPr>
          <w:rFonts w:ascii="Calibri" w:cs="Calibri" w:eastAsia="Calibri" w:hAnsi="Calibri"/>
          <w:i/>
          <w:iCs/>
          <w:sz w:val="20"/>
          <w:szCs w:val="20"/>
        </w:rPr>
        <w:t xml:space="preserve">The chapter does not advocate abandoning pre-crisis mapping. Rather, it advocates for dynamic mapping — beginning with pre-crisis analysis but building in mechanisms for rapid reassessment. Pre-crisis maps provide essential starting structure; the error is treating them as fixed rather than as hypotheses to be tested.</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coordinator broke her own information hierarchy by bypassing the filtering layer, allowing raw data to degrade her strategic decision-making capacity</w:t>
      </w:r>
    </w:p>
    <w:p>
      <w:pPr>
        <w:spacing w:after="120"/>
        <w:ind w:left="360"/>
      </w:pPr>
      <w:r>
        <w:rPr>
          <w:rFonts w:ascii="Calibri" w:cs="Calibri" w:eastAsia="Calibri" w:hAnsi="Calibri"/>
          <w:i/>
          <w:iCs/>
          <w:sz w:val="20"/>
          <w:szCs w:val="20"/>
        </w:rPr>
        <w:t xml:space="preserve">This scenario illustrates the chapter's warning that information filtering exists to protect decision quality, and that bypassing it — even with good intentions — increases cognitive load and degrades the capacity to decide. The coordinator's role requires synthesized, decision-ready information matched to her strategic authority; consuming raw field data pulled her into operational-level analysis that was not her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briefing team failed by not providing sufficiently detailed summaries, forcing the coordinator to seek raw data</w:t>
      </w:r>
    </w:p>
    <w:p>
      <w:pPr>
        <w:spacing w:after="80"/>
        <w:ind w:left="360"/>
      </w:pPr>
      <w:r>
        <w:rPr>
          <w:rFonts w:ascii="Calibri" w:cs="Calibri" w:eastAsia="Calibri" w:hAnsi="Calibri"/>
          <w:i/>
          <w:iCs/>
          <w:sz w:val="20"/>
          <w:szCs w:val="20"/>
        </w:rPr>
        <w:t xml:space="preserve">The scenario does not indicate inadequate summaries — the coordinator demanded raw data access in addition to synthesized briefings. The chapter would diagnose this as a leader undermining the information hierarchy rather than a team producing poor synthesis.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two-hour briefing cycle was too infrequent for a rapidly evolving crisis, requiring the coordinator to supplement with real-time data</w:t>
      </w:r>
    </w:p>
    <w:p>
      <w:pPr>
        <w:spacing w:after="80"/>
        <w:ind w:left="360"/>
      </w:pPr>
      <w:r>
        <w:rPr>
          <w:rFonts w:ascii="Calibri" w:cs="Calibri" w:eastAsia="Calibri" w:hAnsi="Calibri"/>
          <w:i/>
          <w:iCs/>
          <w:sz w:val="20"/>
          <w:szCs w:val="20"/>
        </w:rPr>
        <w:t xml:space="preserve">While briefing frequency may need adjustment in a fast-moving crisis, the chapter's diagnosis would focus on the structural problem: the coordinator consuming raw field data mismatches information fidelity with decision authority. The solution would be increasing briefing frequency, not bypassing the filtering layer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coordinator's team should have denied her access to raw field reports to prevent her from interfering with the information hierarchy</w:t>
      </w:r>
    </w:p>
    <w:p>
      <w:pPr>
        <w:spacing w:after="80"/>
        <w:ind w:left="360"/>
      </w:pPr>
      <w:r>
        <w:rPr>
          <w:rFonts w:ascii="Calibri" w:cs="Calibri" w:eastAsia="Calibri" w:hAnsi="Calibri"/>
          <w:i/>
          <w:iCs/>
          <w:sz w:val="20"/>
          <w:szCs w:val="20"/>
        </w:rPr>
        <w:t xml:space="preserve">While the chapter supports protecting information hierarchies, this answer focuses on an access-control solution rather than diagnosing the actual failure. The precise diagnosis is that the coordinator's behavior broke the match between information fidelity and decision authority, causing cognitive overload that delayed strategic decisions.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2026-02-20T06:26:23.290Z</dcterms:created>
  <dcterms:modified xsi:type="dcterms:W3CDTF">2026-02-20T06:26:23.290Z</dcterms:modified>
</cp:coreProperties>
</file>

<file path=docProps/custom.xml><?xml version="1.0" encoding="utf-8"?>
<Properties xmlns="http://schemas.openxmlformats.org/officeDocument/2006/custom-properties" xmlns:vt="http://schemas.openxmlformats.org/officeDocument/2006/docPropsVTypes"/>
</file>