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Speaking into the Void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the chapter, what are the three operational principles extracted from the crisis communication case studies?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Empathy first, transparency about uncertainty, and update cadence</w:t>
      </w:r>
    </w:p>
    <w:p>
      <w:pPr>
        <w:spacing w:after="120"/>
        <w:ind w:left="360"/>
      </w:pPr>
      <w:r>
        <w:rPr>
          <w:rFonts w:ascii="Calibri" w:cs="Calibri" w:eastAsia="Calibri" w:hAnsi="Calibri"/>
          <w:i/>
          <w:iCs/>
          <w:sz w:val="20"/>
          <w:szCs w:val="20"/>
        </w:rPr>
        <w:t xml:space="preserve">The chapter explicitly identifies these three principles as the core framework for crisis communication. Empathy first addresses what people are feeling and fearing, transparency about uncertainty means stating what you know, what you don't, and when you'll know more, and update cadence recognizes that the rhythm of communication matters as much as its content.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Legal compliance, factual accuracy, and message consistency</w:t>
      </w:r>
    </w:p>
    <w:p>
      <w:pPr>
        <w:spacing w:after="80"/>
        <w:ind w:left="360"/>
      </w:pPr>
      <w:r>
        <w:rPr>
          <w:rFonts w:ascii="Calibri" w:cs="Calibri" w:eastAsia="Calibri" w:hAnsi="Calibri"/>
          <w:i/>
          <w:iCs/>
          <w:sz w:val="20"/>
          <w:szCs w:val="20"/>
        </w:rPr>
        <w:t xml:space="preserve">Students might choose this because these sound like responsible communication practices. However, the chapter's framework prioritizes the human and relational dimensions of crisis messaging — empathy, honesty about gaps, and communication rhythm — over purely procedural concerns like legal compliance.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Speed of response, technical precision, and media control</w:t>
      </w:r>
    </w:p>
    <w:p>
      <w:pPr>
        <w:spacing w:after="80"/>
        <w:ind w:left="360"/>
      </w:pPr>
      <w:r>
        <w:rPr>
          <w:rFonts w:ascii="Calibri" w:cs="Calibri" w:eastAsia="Calibri" w:hAnsi="Calibri"/>
          <w:i/>
          <w:iCs/>
          <w:sz w:val="20"/>
          <w:szCs w:val="20"/>
        </w:rPr>
        <w:t xml:space="preserve">Students may recall that speed matters in a crisis and assume technical precision is paramount. However, the chapter actually shows how technical precision without empathy (as in airline communications) can backfire, and the framework emphasizes transparency and cadence over media control.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Audience segmentation, message approval chains, and spokesperson training</w:t>
      </w:r>
    </w:p>
    <w:p>
      <w:pPr>
        <w:spacing w:after="80"/>
        <w:ind w:left="360"/>
      </w:pPr>
      <w:r>
        <w:rPr>
          <w:rFonts w:ascii="Calibri" w:cs="Calibri" w:eastAsia="Calibri" w:hAnsi="Calibri"/>
          <w:i/>
          <w:iCs/>
          <w:sz w:val="20"/>
          <w:szCs w:val="20"/>
        </w:rPr>
        <w:t xml:space="preserve">These are tactical communication activities that might appear in a crisis plan, but they are not the three operational principles the chapter derives from its case analysis. The chapter's principles operate at a more fundamental level: empathy, transparency about uncertainty, and update cadence.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During the Thai cave rescue, what TWO objectives did the communication strategy successfully balance over seventeen days?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Public trust and operational security</w:t>
      </w:r>
    </w:p>
    <w:p>
      <w:pPr>
        <w:spacing w:after="120"/>
        <w:ind w:left="360"/>
      </w:pPr>
      <w:r>
        <w:rPr>
          <w:rFonts w:ascii="Calibri" w:cs="Calibri" w:eastAsia="Calibri" w:hAnsi="Calibri"/>
          <w:i/>
          <w:iCs/>
          <w:sz w:val="20"/>
          <w:szCs w:val="20"/>
        </w:rPr>
        <w:t xml:space="preserve">The Thai cave rescue is presented as the chapter's example of remarkable success precisely because the communication team managed to keep the public informed enough to maintain trust while simultaneously protecting operational security — ensuring that media attention and public pressure did not compromise the rescue itself.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Media access and government transparency</w:t>
      </w:r>
    </w:p>
    <w:p>
      <w:pPr>
        <w:spacing w:after="80"/>
        <w:ind w:left="360"/>
      </w:pPr>
      <w:r>
        <w:rPr>
          <w:rFonts w:ascii="Calibri" w:cs="Calibri" w:eastAsia="Calibri" w:hAnsi="Calibri"/>
          <w:i/>
          <w:iCs/>
          <w:sz w:val="20"/>
          <w:szCs w:val="20"/>
        </w:rPr>
        <w:t xml:space="preserve">Students might assume a successful communication strategy would maximize media access and government openness. However, the chapter emphasizes that the Thai team's achievement was maintaining trust while also restricting certain information to protect the rescue operation — not maximizing media access.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Technical accuracy and emotional restraint</w:t>
      </w:r>
    </w:p>
    <w:p>
      <w:pPr>
        <w:spacing w:after="80"/>
        <w:ind w:left="360"/>
      </w:pPr>
      <w:r>
        <w:rPr>
          <w:rFonts w:ascii="Calibri" w:cs="Calibri" w:eastAsia="Calibri" w:hAnsi="Calibri"/>
          <w:i/>
          <w:iCs/>
          <w:sz w:val="20"/>
          <w:szCs w:val="20"/>
        </w:rPr>
        <w:t xml:space="preserve">While accuracy matters, the chapter does not frame the Thai rescue success as a balance between technical accuracy and emotional restraint. The distinctive achievement was maintaining public trust without compromising the operational security of an active, dangerous rescue.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International diplomacy and family privacy</w:t>
      </w:r>
    </w:p>
    <w:p>
      <w:pPr>
        <w:spacing w:after="80"/>
        <w:ind w:left="360"/>
      </w:pPr>
      <w:r>
        <w:rPr>
          <w:rFonts w:ascii="Calibri" w:cs="Calibri" w:eastAsia="Calibri" w:hAnsi="Calibri"/>
          <w:i/>
          <w:iCs/>
          <w:sz w:val="20"/>
          <w:szCs w:val="20"/>
        </w:rPr>
        <w:t xml:space="preserve">While the rescue involved international actors and affected families, the chapter specifically identifies the two objectives balanced as public trust and operational security. Diplomacy and family privacy were considerations but not the central tension the communication strategy navigated.</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the chapter argue that silence during a crisis is particularly dangerous?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the public interprets silence as concealment rather than as having nothing to report</w:t>
      </w:r>
    </w:p>
    <w:p>
      <w:pPr>
        <w:spacing w:after="120"/>
        <w:ind w:left="360"/>
      </w:pPr>
      <w:r>
        <w:rPr>
          <w:rFonts w:ascii="Calibri" w:cs="Calibri" w:eastAsia="Calibri" w:hAnsi="Calibri"/>
          <w:i/>
          <w:iCs/>
          <w:sz w:val="20"/>
          <w:szCs w:val="20"/>
        </w:rPr>
        <w:t xml:space="preserve">The chapter makes this point explicitly: silence in a crisis is never interpreted as 'nothing to report' — it is interpreted as 'they are hiding something.' This is why update cadence matters so much; even when there is no new information, the act of communicating maintains trust.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allows competitors or adversaries to control the narrative first</w:t>
      </w:r>
    </w:p>
    <w:p>
      <w:pPr>
        <w:spacing w:after="80"/>
        <w:ind w:left="360"/>
      </w:pPr>
      <w:r>
        <w:rPr>
          <w:rFonts w:ascii="Calibri" w:cs="Calibri" w:eastAsia="Calibri" w:hAnsi="Calibri"/>
          <w:i/>
          <w:iCs/>
          <w:sz w:val="20"/>
          <w:szCs w:val="20"/>
        </w:rPr>
        <w:t xml:space="preserve">While losing narrative control is a real risk, the chapter's argument is more fundamental than strategic positioning. The danger of silence is psychological — stakeholders fill the void with suspicion of concealment, not just rival narratives.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legal teams may interpret silence as an admission of liability</w:t>
      </w:r>
    </w:p>
    <w:p>
      <w:pPr>
        <w:spacing w:after="80"/>
        <w:ind w:left="360"/>
      </w:pPr>
      <w:r>
        <w:rPr>
          <w:rFonts w:ascii="Calibri" w:cs="Calibri" w:eastAsia="Calibri" w:hAnsi="Calibri"/>
          <w:i/>
          <w:iCs/>
          <w:sz w:val="20"/>
          <w:szCs w:val="20"/>
        </w:rPr>
        <w:t xml:space="preserve">This reflects a legal concern that might arise in crisis management, but it is not the chapter's argument. The chapter focuses on how the public and affected stakeholders perceive silence — as hiding something — rather than on legal implications.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media organizations will report the silence itself as the story</w:t>
      </w:r>
    </w:p>
    <w:p>
      <w:pPr>
        <w:spacing w:after="80"/>
        <w:ind w:left="360"/>
      </w:pPr>
      <w:r>
        <w:rPr>
          <w:rFonts w:ascii="Calibri" w:cs="Calibri" w:eastAsia="Calibri" w:hAnsi="Calibri"/>
          <w:i/>
          <w:iCs/>
          <w:sz w:val="20"/>
          <w:szCs w:val="20"/>
        </w:rPr>
        <w:t xml:space="preserve">While media may indeed report on organizational silence, the chapter's core argument is about the psychological interpretation by the public and affected stakeholders. People assume concealment, not merely that the silence becomes newsworthy.</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The chapter identifies TEPCO's communication during Fukushima as a crisis communication failure. What specific characteristic of their statements destroyed public trust?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Their statements were evasive and inconsistent</w:t>
      </w:r>
    </w:p>
    <w:p>
      <w:pPr>
        <w:spacing w:after="120"/>
        <w:ind w:left="360"/>
      </w:pPr>
      <w:r>
        <w:rPr>
          <w:rFonts w:ascii="Calibri" w:cs="Calibri" w:eastAsia="Calibri" w:hAnsi="Calibri"/>
          <w:i/>
          <w:iCs/>
          <w:sz w:val="20"/>
          <w:szCs w:val="20"/>
        </w:rPr>
        <w:t xml:space="preserve">The chapter describes TEPCO's public statements as evasive and inconsistent, noting that this destroyed public trust within days. Evasiveness violated the transparency principle, and inconsistency meant stakeholders could not rely on any single statement as truthful, compounding the damage.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statements were too frequent and overwhelmed the public with contradictory technical data</w:t>
      </w:r>
    </w:p>
    <w:p>
      <w:pPr>
        <w:spacing w:after="80"/>
        <w:ind w:left="360"/>
      </w:pPr>
      <w:r>
        <w:rPr>
          <w:rFonts w:ascii="Calibri" w:cs="Calibri" w:eastAsia="Calibri" w:hAnsi="Calibri"/>
          <w:i/>
          <w:iCs/>
          <w:sz w:val="20"/>
          <w:szCs w:val="20"/>
        </w:rPr>
        <w:t xml:space="preserve">Students might assume that over-communicating caused the problem. In reality, the chapter identifies evasiveness and inconsistency — not excessive frequency — as TEPCO's core failure. The issue was the quality and honesty of communication, not its volume.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statements were excessively empathetic but lacked factual substance</w:t>
      </w:r>
    </w:p>
    <w:p>
      <w:pPr>
        <w:spacing w:after="80"/>
        <w:ind w:left="360"/>
      </w:pPr>
      <w:r>
        <w:rPr>
          <w:rFonts w:ascii="Calibri" w:cs="Calibri" w:eastAsia="Calibri" w:hAnsi="Calibri"/>
          <w:i/>
          <w:iCs/>
          <w:sz w:val="20"/>
          <w:szCs w:val="20"/>
        </w:rPr>
        <w:t xml:space="preserve">This reverses the actual failure. TEPCO's problem was not an excess of empathy with insufficient facts; it was evasive and inconsistent messaging that violated the transparency principle. The chapter does not describe TEPCO as overly empathetic.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statements were legally precise but issued too slowly to be useful</w:t>
      </w:r>
    </w:p>
    <w:p>
      <w:pPr>
        <w:spacing w:after="80"/>
        <w:ind w:left="360"/>
      </w:pPr>
      <w:r>
        <w:rPr>
          <w:rFonts w:ascii="Calibri" w:cs="Calibri" w:eastAsia="Calibri" w:hAnsi="Calibri"/>
          <w:i/>
          <w:iCs/>
          <w:sz w:val="20"/>
          <w:szCs w:val="20"/>
        </w:rPr>
        <w:t xml:space="preserve">While timing matters in crisis communication, the chapter specifically characterizes TEPCO's failure as evasiveness and inconsistency in their statements, not as legally cautious messaging delivered at too slow a pace.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According to the chapter's framework, what should a crisis communicator say when they genuinely do not have an answer to a critical question?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Acknowledge what is known, state clearly what is not yet known, and specify when more information is expected</w:t>
      </w:r>
    </w:p>
    <w:p>
      <w:pPr>
        <w:spacing w:after="120"/>
        <w:ind w:left="360"/>
      </w:pPr>
      <w:r>
        <w:rPr>
          <w:rFonts w:ascii="Calibri" w:cs="Calibri" w:eastAsia="Calibri" w:hAnsi="Calibri"/>
          <w:i/>
          <w:iCs/>
          <w:sz w:val="20"/>
          <w:szCs w:val="20"/>
        </w:rPr>
        <w:t xml:space="preserve">This directly reflects the chapter's transparency about uncertainty principle: say what you know, what you do not know, and when you will know more. This three-part formula allows communicators to be honest without creating a vacuum that stakeholders fill with fear and suspicion.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Redirect the question toward what is being done operationally to resolve the crisis</w:t>
      </w:r>
    </w:p>
    <w:p>
      <w:pPr>
        <w:spacing w:after="80"/>
        <w:ind w:left="360"/>
      </w:pPr>
      <w:r>
        <w:rPr>
          <w:rFonts w:ascii="Calibri" w:cs="Calibri" w:eastAsia="Calibri" w:hAnsi="Calibri"/>
          <w:i/>
          <w:iCs/>
          <w:sz w:val="20"/>
          <w:szCs w:val="20"/>
        </w:rPr>
        <w:t xml:space="preserve">Redirecting to operational actions is a common media-training technique, but the chapter's transparency principle requires directly addressing the gap in knowledge rather than deflecting. Redirection without acknowledging uncertainty can appear evasive.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Decline to comment until verified information becomes available to avoid spreading misinformation</w:t>
      </w:r>
    </w:p>
    <w:p>
      <w:pPr>
        <w:spacing w:after="80"/>
        <w:ind w:left="360"/>
      </w:pPr>
      <w:r>
        <w:rPr>
          <w:rFonts w:ascii="Calibri" w:cs="Calibri" w:eastAsia="Calibri" w:hAnsi="Calibri"/>
          <w:i/>
          <w:iCs/>
          <w:sz w:val="20"/>
          <w:szCs w:val="20"/>
        </w:rPr>
        <w:t xml:space="preserve">This seems responsible, but the chapter explicitly warns against silence and withholding. Declining to comment creates the very vacuum the chapter identifies as dangerous, because stakeholders will interpret the refusal as concealment.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Provide the most likely answer based on available evidence while noting it may change</w:t>
      </w:r>
    </w:p>
    <w:p>
      <w:pPr>
        <w:spacing w:after="80"/>
        <w:ind w:left="360"/>
      </w:pPr>
      <w:r>
        <w:rPr>
          <w:rFonts w:ascii="Calibri" w:cs="Calibri" w:eastAsia="Calibri" w:hAnsi="Calibri"/>
          <w:i/>
          <w:iCs/>
          <w:sz w:val="20"/>
          <w:szCs w:val="20"/>
        </w:rPr>
        <w:t xml:space="preserve">Students might see this as reasonable transparency, but speculating — even with caveats — risks the inconsistency problem the chapter identifies in TEPCO's failure. If the speculation proves wrong, credibility is damaged. The chapter's principle calls for clearly labeling unknowns, not offering provisional guesses.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How does the chapter describe the communication failures surrounding Grenfell Tower?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Bereaved families received contradictory, delayed, and emotionally tone-deaf information</w:t>
      </w:r>
    </w:p>
    <w:p>
      <w:pPr>
        <w:spacing w:after="120"/>
        <w:ind w:left="360"/>
      </w:pPr>
      <w:r>
        <w:rPr>
          <w:rFonts w:ascii="Calibri" w:cs="Calibri" w:eastAsia="Calibri" w:hAnsi="Calibri"/>
          <w:i/>
          <w:iCs/>
          <w:sz w:val="20"/>
          <w:szCs w:val="20"/>
        </w:rPr>
        <w:t xml:space="preserve">The chapter characterizes Grenfell as a communication vacuum in which affected families and the public received information that was contradictory, delayed, and emotionally tone-deaf. This case illustrates the catastrophic failure of all three operational principles — empathy, transparency, and cadence — simultaneously.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Authorities communicated too quickly and had to retract multiple statements, destroying credibility</w:t>
      </w:r>
    </w:p>
    <w:p>
      <w:pPr>
        <w:spacing w:after="80"/>
        <w:ind w:left="360"/>
      </w:pPr>
      <w:r>
        <w:rPr>
          <w:rFonts w:ascii="Calibri" w:cs="Calibri" w:eastAsia="Calibri" w:hAnsi="Calibri"/>
          <w:i/>
          <w:iCs/>
          <w:sz w:val="20"/>
          <w:szCs w:val="20"/>
        </w:rPr>
        <w:t xml:space="preserve">This describes a speed-over-accuracy failure, which is not the Grenfell case. The chapter specifically describes the problem as a communication vacuum with delayed and contradictory information — the opposite of communicating too quickly.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Technical experts dominated public messaging, making statements incomprehensible to affected residents</w:t>
      </w:r>
    </w:p>
    <w:p>
      <w:pPr>
        <w:spacing w:after="80"/>
        <w:ind w:left="360"/>
      </w:pPr>
      <w:r>
        <w:rPr>
          <w:rFonts w:ascii="Calibri" w:cs="Calibri" w:eastAsia="Calibri" w:hAnsi="Calibri"/>
          <w:i/>
          <w:iCs/>
          <w:sz w:val="20"/>
          <w:szCs w:val="20"/>
        </w:rPr>
        <w:t xml:space="preserve">While technical jargon can be a real communication problem (as seen in the airline incident case), the chapter describes Grenfell's failures as contradictory, delayed, and emotionally tone-deaf information — a broader systemic breakdown, not primarily a technical-language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well-coordinated government response was undermined by inaccurate media reporting</w:t>
      </w:r>
    </w:p>
    <w:p>
      <w:pPr>
        <w:spacing w:after="80"/>
        <w:ind w:left="360"/>
      </w:pPr>
      <w:r>
        <w:rPr>
          <w:rFonts w:ascii="Calibri" w:cs="Calibri" w:eastAsia="Calibri" w:hAnsi="Calibri"/>
          <w:i/>
          <w:iCs/>
          <w:sz w:val="20"/>
          <w:szCs w:val="20"/>
        </w:rPr>
        <w:t xml:space="preserve">This frames the failure as external media error rather than institutional communication failure. The chapter places responsibility squarely on the communicators, describing the information provided to families as contradictory, delayed, and emotionally tone-deaf.</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Why does the chapter draw a sharp distinction between internal and external crisis communication?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messages sent to internal teams during a crisis shape team performance, morale, and the quality of information flowing back up to leaders</w:t>
      </w:r>
    </w:p>
    <w:p>
      <w:pPr>
        <w:spacing w:after="120"/>
        <w:ind w:left="360"/>
      </w:pPr>
      <w:r>
        <w:rPr>
          <w:rFonts w:ascii="Calibri" w:cs="Calibri" w:eastAsia="Calibri" w:hAnsi="Calibri"/>
          <w:i/>
          <w:iCs/>
          <w:sz w:val="20"/>
          <w:szCs w:val="20"/>
        </w:rPr>
        <w:t xml:space="preserve">The chapter emphasizes that internal communication is not merely a scaled-down version of external messaging. What leaders tell their own teams directly affects how those teams perform, how they feel, and critically, the quality and honesty of information that flows back up the chain — connecting to the information hierarchy work from Chapter 4.</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internal audiences require more technical detail while external audiences need simplified messaging</w:t>
      </w:r>
    </w:p>
    <w:p>
      <w:pPr>
        <w:spacing w:after="80"/>
        <w:ind w:left="360"/>
      </w:pPr>
      <w:r>
        <w:rPr>
          <w:rFonts w:ascii="Calibri" w:cs="Calibri" w:eastAsia="Calibri" w:hAnsi="Calibri"/>
          <w:i/>
          <w:iCs/>
          <w:sz w:val="20"/>
          <w:szCs w:val="20"/>
        </w:rPr>
        <w:t xml:space="preserve">While audience adaptation is a general communication principle, the chapter's distinction is more consequential. Internal communication affects team performance, morale, and information flow — it is not simply a matter of adjusting technical detail levels.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legal liability differs depending on whether statements are made internally or to the public, with external statements creating heightened exposure to regulatory penalties and shareholder litigation</w:t>
      </w:r>
    </w:p>
    <w:p>
      <w:pPr>
        <w:spacing w:after="80"/>
        <w:ind w:left="360"/>
      </w:pPr>
      <w:r>
        <w:rPr>
          <w:rFonts w:ascii="Calibri" w:cs="Calibri" w:eastAsia="Calibri" w:hAnsi="Calibri"/>
          <w:i/>
          <w:iCs/>
          <w:sz w:val="20"/>
          <w:szCs w:val="20"/>
        </w:rPr>
        <w:t xml:space="preserve">Legal considerations exist in crisis communication, but the chapter's reason for distinguishing internal from external communication is operational, not legal. The distinction centers on how internal messaging shapes team function and the upward flow of critical information.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external communication must be approved by legal counsel while internal communication can be more spontaneous, enabling leadership to maintain team confidence and operational continuity during the crisis</w:t>
      </w:r>
    </w:p>
    <w:p>
      <w:pPr>
        <w:spacing w:after="80"/>
        <w:ind w:left="360"/>
      </w:pPr>
      <w:r>
        <w:rPr>
          <w:rFonts w:ascii="Calibri" w:cs="Calibri" w:eastAsia="Calibri" w:hAnsi="Calibri"/>
          <w:i/>
          <w:iCs/>
          <w:sz w:val="20"/>
          <w:szCs w:val="20"/>
        </w:rPr>
        <w:t xml:space="preserve">This focuses on procedural differences in message approval, which is not the chapter's argument. The distinction is about the functional impact of internal messaging on team performance, morale, and information quality flowing back to decision-makers.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discusses a case where technical precision and public empathy collided in crisis communication. Which type of crisis illustrates this specific tension?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Airline incident communications</w:t>
      </w:r>
    </w:p>
    <w:p>
      <w:pPr>
        <w:spacing w:after="120"/>
        <w:ind w:left="360"/>
      </w:pPr>
      <w:r>
        <w:rPr>
          <w:rFonts w:ascii="Calibri" w:cs="Calibri" w:eastAsia="Calibri" w:hAnsi="Calibri"/>
          <w:i/>
          <w:iCs/>
          <w:sz w:val="20"/>
          <w:szCs w:val="20"/>
        </w:rPr>
        <w:t xml:space="preserve">The chapter uses early airline incident communications as the case where technical precision — the aviation industry's default mode of conveying safety information — collided with the need for public empathy. This case demonstrates that accuracy alone is insufficient when stakeholders are frightened and grieving.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Fukushima nuclear disaster</w:t>
      </w:r>
    </w:p>
    <w:p>
      <w:pPr>
        <w:spacing w:after="80"/>
        <w:ind w:left="360"/>
      </w:pPr>
      <w:r>
        <w:rPr>
          <w:rFonts w:ascii="Calibri" w:cs="Calibri" w:eastAsia="Calibri" w:hAnsi="Calibri"/>
          <w:i/>
          <w:iCs/>
          <w:sz w:val="20"/>
          <w:szCs w:val="20"/>
        </w:rPr>
        <w:t xml:space="preserve">While TEPCO's Fukushima communications involved technical subject matter, the chapter characterizes that failure as evasion and inconsistency, not as a collision between technical precision and empathy. The precision-empathy tension is specifically attributed to airline incident communications.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Thai cave rescue</w:t>
      </w:r>
    </w:p>
    <w:p>
      <w:pPr>
        <w:spacing w:after="80"/>
        <w:ind w:left="360"/>
      </w:pPr>
      <w:r>
        <w:rPr>
          <w:rFonts w:ascii="Calibri" w:cs="Calibri" w:eastAsia="Calibri" w:hAnsi="Calibri"/>
          <w:i/>
          <w:iCs/>
          <w:sz w:val="20"/>
          <w:szCs w:val="20"/>
        </w:rPr>
        <w:t xml:space="preserve">The Thai cave rescue is presented as the chapter's success case where communication strategy maintained trust and operational security. It is not used to illustrate the specific tension between technical precision and public empathy.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Grenfell Tower fire</w:t>
      </w:r>
    </w:p>
    <w:p>
      <w:pPr>
        <w:spacing w:after="80"/>
        <w:ind w:left="360"/>
      </w:pPr>
      <w:r>
        <w:rPr>
          <w:rFonts w:ascii="Calibri" w:cs="Calibri" w:eastAsia="Calibri" w:hAnsi="Calibri"/>
          <w:i/>
          <w:iCs/>
          <w:sz w:val="20"/>
          <w:szCs w:val="20"/>
        </w:rPr>
        <w:t xml:space="preserve">Grenfell is described as a communication vacuum with contradictory, delayed, and tone-deaf messaging. The specific tension between technical precision and empathy is not the chapter's framing of Grenfell — that tension is illustrated through airline incident communications.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hospital is managing a disease outbreak. They have confirmed 12 cases but suspect the number may be higher, and lab results are pending. Applying the chapter's principles, which response best maintains public trust?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"We have confirmed 12 cases so far. We suspect the number may be higher and are awaiting lab results, which we expect by Thursday. We will update you then regardless of the outcome."</w:t>
      </w:r>
    </w:p>
    <w:p>
      <w:pPr>
        <w:spacing w:after="120"/>
        <w:ind w:left="360"/>
      </w:pPr>
      <w:r>
        <w:rPr>
          <w:rFonts w:ascii="Calibri" w:cs="Calibri" w:eastAsia="Calibri" w:hAnsi="Calibri"/>
          <w:i/>
          <w:iCs/>
          <w:sz w:val="20"/>
          <w:szCs w:val="20"/>
        </w:rPr>
        <w:t xml:space="preserve">This response applies all three operational principles: it leads with awareness of public concern (empathy), states what is known, what is not yet known, and when more information is expected (transparency about uncertainty), and commits to a specific next update (cadence). The phrase 'regardless of the outcome' reinforces that updates will continue even without new information.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 have confirmed 12 cases. Our medical team is working around the clock to contain the outbreak, and we are confident in our protocols. We will share more information when it becomes available."</w:t>
      </w:r>
    </w:p>
    <w:p>
      <w:pPr>
        <w:spacing w:after="80"/>
        <w:ind w:left="360"/>
      </w:pPr>
      <w:r>
        <w:rPr>
          <w:rFonts w:ascii="Calibri" w:cs="Calibri" w:eastAsia="Calibri" w:hAnsi="Calibri"/>
          <w:i/>
          <w:iCs/>
          <w:sz w:val="20"/>
          <w:szCs w:val="20"/>
        </w:rPr>
        <w:t xml:space="preserve">Students might find this reassuring and professional, but it omits the suspected higher number — a critical transparency failure. It also lacks a specific update timeline, using the vague 'when it becomes available,' which the chapter identifies as the kind of open-ended silence that erodes trust.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 have confirmed 12 cases, but early indicators suggest the actual number could be between 30 and 50. We want to be fully transparent, so we are sharing this preliminary estimate while we wait for confirmation."</w:t>
      </w:r>
    </w:p>
    <w:p>
      <w:pPr>
        <w:spacing w:after="80"/>
        <w:ind w:left="360"/>
      </w:pPr>
      <w:r>
        <w:rPr>
          <w:rFonts w:ascii="Calibri" w:cs="Calibri" w:eastAsia="Calibri" w:hAnsi="Calibri"/>
          <w:i/>
          <w:iCs/>
          <w:sz w:val="20"/>
          <w:szCs w:val="20"/>
        </w:rPr>
        <w:t xml:space="preserve">This may appear maximally transparent, but sharing unverified speculative numbers (30-50) risks the inconsistency problem seen in the TEPCO case. If the actual number is 15, the hospital will have unnecessarily caused panic and damaged credibility. The chapter's principle calls for labeling unknowns, not offering unconfirmed estimates.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 understand this is a frightening time. Please know that we are doing everything possible to protect our community. We have the best medical professionals working on this and will not rest until everyone is safe."</w:t>
      </w:r>
    </w:p>
    <w:p>
      <w:pPr>
        <w:spacing w:after="80"/>
        <w:ind w:left="360"/>
      </w:pPr>
      <w:r>
        <w:rPr>
          <w:rFonts w:ascii="Calibri" w:cs="Calibri" w:eastAsia="Calibri" w:hAnsi="Calibri"/>
          <w:i/>
          <w:iCs/>
          <w:sz w:val="20"/>
          <w:szCs w:val="20"/>
        </w:rPr>
        <w:t xml:space="preserve">This response leads with empathy and reassurance but contains almost no factual content — it does not mention the 12 confirmed cases, the suspected higher number, or pending lab results. Empathy without substantive information violates the transparency principle and can feel patronizing to a public demanding answers.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communication vacuum will be filled by speculation, and the company's silence will be interpreted as indifference or concealment at the moment families and the public are most emotionally vulnerable</w:t>
      </w:r>
    </w:p>
    <w:p>
      <w:pPr>
        <w:spacing w:after="120"/>
        <w:ind w:left="360"/>
      </w:pPr>
      <w:r>
        <w:rPr>
          <w:rFonts w:ascii="Calibri" w:cs="Calibri" w:eastAsia="Calibri" w:hAnsi="Calibri"/>
          <w:i/>
          <w:iCs/>
          <w:sz w:val="20"/>
          <w:szCs w:val="20"/>
        </w:rPr>
        <w:t xml:space="preserve">This answer integrates the chapter's core warnings: silence is interpreted as hiding something, communication vacuums are filled by others, and the empathy-first principle demands acknowledging people's fear and pain immediately. The legal team's instinct to wait creates exactly the conditions that destroyed trust in the Grenfell and Fukushima cases.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media will publish inaccurate casualty numbers that the company will later have to correct, creating the appearance of inconsistency</w:t>
      </w:r>
    </w:p>
    <w:p>
      <w:pPr>
        <w:spacing w:after="80"/>
        <w:ind w:left="360"/>
      </w:pPr>
      <w:r>
        <w:rPr>
          <w:rFonts w:ascii="Calibri" w:cs="Calibri" w:eastAsia="Calibri" w:hAnsi="Calibri"/>
          <w:i/>
          <w:iCs/>
          <w:sz w:val="20"/>
          <w:szCs w:val="20"/>
        </w:rPr>
        <w:t xml:space="preserve">While media inaccuracy is a real concern, this frames the risk as a media management problem rather than a trust and empathy crisis. The chapter's framework identifies the deeper risk: affected families and the public will interpret organizational silence as concealment or indifference, which is far more damaging than having to correct external reports.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Employees inside the company will lose confidence in leadership if they see the CEO deferring to lawyers instead of speaking directly</w:t>
      </w:r>
    </w:p>
    <w:p>
      <w:pPr>
        <w:spacing w:after="80"/>
        <w:ind w:left="360"/>
      </w:pPr>
      <w:r>
        <w:rPr>
          <w:rFonts w:ascii="Calibri" w:cs="Calibri" w:eastAsia="Calibri" w:hAnsi="Calibri"/>
          <w:i/>
          <w:iCs/>
          <w:sz w:val="20"/>
          <w:szCs w:val="20"/>
        </w:rPr>
        <w:t xml:space="preserve">This touches on the internal communication distinction but frames the risk too narrowly as a leadership perception issue within the company. The chapter's framework identifies the more critical and immediate danger as the external communication vacuum — the silence that families and the public will interpret as concealment at a moment of maximum emotional vulnerability.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Regulatory agencies will view the company's silence as non-cooperation, potentially increasing penalties and legal exposure</w:t>
      </w:r>
    </w:p>
    <w:p>
      <w:pPr>
        <w:spacing w:after="80"/>
        <w:ind w:left="360"/>
      </w:pPr>
      <w:r>
        <w:rPr>
          <w:rFonts w:ascii="Calibri" w:cs="Calibri" w:eastAsia="Calibri" w:hAnsi="Calibri"/>
          <w:i/>
          <w:iCs/>
          <w:sz w:val="20"/>
          <w:szCs w:val="20"/>
        </w:rPr>
        <w:t xml:space="preserve">This frames the risk in regulatory and legal terms, which ironically reinforces the legal team's framing rather than the chapter's communication framework. The chapter's most critical concern is the human and trust dimension — the void that silence creates for families and the public — not regulatory consequences.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2026-02-20T06:36:06.409Z</dcterms:created>
  <dcterms:modified xsi:type="dcterms:W3CDTF">2026-02-20T06:36:06.409Z</dcterms:modified>
</cp:coreProperties>
</file>

<file path=docProps/custom.xml><?xml version="1.0" encoding="utf-8"?>
<Properties xmlns="http://schemas.openxmlformats.org/officeDocument/2006/custom-properties" xmlns:vt="http://schemas.openxmlformats.org/officeDocument/2006/docPropsVTypes"/>
</file>