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Leadership through Crisis: Decision-Making When the Stakes Are High</w:t>
      </w:r>
    </w:p>
    <w:p>
      <w:pPr>
        <w:spacing w:after="80"/>
        <w:jc w:val="center"/>
      </w:pPr>
      <w:r>
        <w:rPr>
          <w:rFonts w:ascii="Calibri" w:cs="Calibri" w:eastAsia="Calibri" w:hAnsi="Calibri"/>
          <w:sz w:val="24"/>
          <w:szCs w:val="24"/>
        </w:rPr>
        <w:t xml:space="preserve">Speaking into the Void — In-Class Quiz</w:t>
      </w:r>
    </w:p>
    <w:p>
      <w:pPr>
        <w:spacing w:after="200"/>
        <w:jc w:val="center"/>
      </w:pPr>
      <w:r>
        <w:rPr>
          <w:rFonts w:ascii="Calibri" w:cs="Calibri" w:eastAsia="Calibri" w:hAnsi="Calibri"/>
          <w:b/>
          <w:bCs/>
          <w:sz w:val="28"/>
          <w:szCs w:val="28"/>
        </w:rPr>
        <w:t xml:space="preserve">Version E</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According to the chapter, what are the three operational principles extracted from the crisis communication case studies?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Speed of response, technical precision, and media control</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Audience segmentation, message approval chains, and spokesperson training</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Legal compliance, factual accuracy, and message consistency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Empathy first, transparency about uncertainty, and update cadence</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A company CEO learns at 9 AM that a factory explosion has injured workers. The full casualty count is unknown, families are gathering outside the facility, media crews are arriving, and the legal team advises waiting before making any public statement. Applying the chapter's framework, what is the most critical risk of following the legal team's advice to wait?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communication vacuum will be filled by speculation, and the company's silence will be interpreted as indifference or concealment at the moment families and the public are most emotionally vulnerable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Employees inside the company will lose confidence in leadership if they see the CEO deferring to lawyers instead of speaking directly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media will publish inaccurate casualty numbers that the company will later have to correct, creating the appearance of inconsistency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Regulatory agencies will view the company's silence as non-cooperation, potentially increasing penalties and legal exposure</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The chapter identifies TEPCO's communication during Fukushima as a crisis communication failure. What specific characteristic of their statements destroyed public trust?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Their statements were excessively empathetic but lacked factual substance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Their statements were too frequent and overwhelmed the public with contradictory technical data</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Their statements were legally precise but issued too slowly to be useful</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Their statements were evasive and inconsistent</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During the Thai cave rescue, what TWO objectives did the communication strategy successfully balance over seventeen days?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Public trust and operational security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Media access and government transparency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Technical accuracy and emotional restraint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International diplomacy and family privacy</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Why does the chapter argue that silence during a crisis is particularly dangerous?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Because media organizations will report the silence itself as the story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Because it allows competitors or adversaries to control the narrative first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Because the public interprets silence as concealment rather than as having nothing to report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Because legal teams may interpret silence as an admission of liability</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According to the chapter's framework, what should a crisis communicator say when they genuinely do not have an answer to a critical question?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Provide the most likely answer based on available evidence while noting it may change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Redirect the question toward what is being done operationally to resolve the crisis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Decline to comment until verified information becomes available to avoid spreading misinformation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Acknowledge what is known, state clearly what is not yet known, and specify when more information is expected</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A hospital is managing a disease outbreak. They have confirmed 12 cases but suspect the number may be higher, and lab results are pending. Applying the chapter's principles, which response best maintains public trust?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"We understand this is a frightening time. Please know that we are doing everything possible to protect our community. We have the best medical professionals working on this and will not rest until everyone is safe."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"We have confirmed 12 cases so far. We suspect the number may be higher and are awaiting lab results, which we expect by Thursday. We will update you then regardless of the outcome."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"We have confirmed 12 cases. Our medical team is working around the clock to contain the outbreak, and we are confident in our protocols. We will share more information when it becomes available."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"We have confirmed 12 cases, but early indicators suggest the actual number could be between 30 and 50. We want to be fully transparent, so we are sharing this preliminary estimate while we wait for confirmation."</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The chapter discusses a case where technical precision and public empathy collided in crisis communication. Which type of crisis illustrates this specific tension?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Airline incident communications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Thai cave rescue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Grenfell Tower fire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Fukushima nuclear disaster</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Why does the chapter draw a sharp distinction between internal and external crisis communication?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Because external communication must be approved by legal counsel while internal communication can be more spontaneous, enabling leadership to maintain team confidence and operational continuity during the crisis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Because legal liability differs depending on whether statements are made internally or to the public, with external statements creating heightened exposure to regulatory penalties and shareholder litigation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Because messages sent to internal teams during a crisis shape team performance, morale, and the quality of information flowing back up to leaders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Because internal audiences require more technical detail while external audiences need simplified messaging</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How does the chapter describe the communication failures surrounding Grenfell Tower?</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Authorities communicated too quickly and had to retract multiple statements, destroying credibility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Bereaved families received contradictory, delayed, and emotionally tone-deaf information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 well-coordinated government response was undermined by inaccurate media reporting</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Technical experts dominated public messaging, making statements incomprehensible to affected residents</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2026-02-20T06:36:06.401Z</dcterms:created>
  <dcterms:modified xsi:type="dcterms:W3CDTF">2026-02-20T06:36:06.401Z</dcterms:modified>
</cp:coreProperties>
</file>

<file path=docProps/custom.xml><?xml version="1.0" encoding="utf-8"?>
<Properties xmlns="http://schemas.openxmlformats.org/officeDocument/2006/custom-properties" xmlns:vt="http://schemas.openxmlformats.org/officeDocument/2006/docPropsVTypes"/>
</file>