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200"/>
        <w:jc w:val="center"/>
      </w:pPr>
      <w:r>
        <w:rPr>
          <w:rFonts w:ascii="Calibri" w:cs="Calibri" w:eastAsia="Calibri" w:hAnsi="Calibri"/>
          <w:b/>
          <w:bCs/>
          <w:sz w:val="26"/>
          <w:szCs w:val="26"/>
        </w:rPr>
        <w:t xml:space="preserve">The Long Night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During the Australian Black Summer bushfire season, initial mobilisation energy eventually gave way to prolonged operational demands lasting five months. According to the chapter, what primarily determines whether a crisis response holds or collapses once initial adrenaline fades?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structural systems and rhythms that sustain performance after initial energy is depleted</w:t>
      </w:r>
    </w:p>
    <w:p>
      <w:pPr>
        <w:spacing w:after="120"/>
        <w:ind w:left="360"/>
      </w:pPr>
      <w:r>
        <w:rPr>
          <w:rFonts w:ascii="Calibri" w:cs="Calibri" w:eastAsia="Calibri" w:hAnsi="Calibri"/>
          <w:i/>
          <w:iCs/>
          <w:sz w:val="20"/>
          <w:szCs w:val="20"/>
        </w:rPr>
        <w:t xml:space="preserve">The chapter explicitly states that when the initial mobilisation energy — adrenaline, clarity of purpose, willingness to push through — runs out, 'what remains determines whether the response holds or collapses.' This refers to the enduring structures, protocols, and rhythms that operate independently of individual motivation or surge capacity.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personal stamina and physical endurance of the senior leader directing operations</w:t>
      </w:r>
    </w:p>
    <w:p>
      <w:pPr>
        <w:spacing w:after="80"/>
        <w:ind w:left="360"/>
      </w:pPr>
      <w:r>
        <w:rPr>
          <w:rFonts w:ascii="Calibri" w:cs="Calibri" w:eastAsia="Calibri" w:hAnsi="Calibri"/>
          <w:i/>
          <w:iCs/>
          <w:sz w:val="20"/>
          <w:szCs w:val="20"/>
        </w:rPr>
        <w:t xml:space="preserve">Students may choose this because leaders seem central to crisis response. However, the chapter warns against over-reliance on individual leaders and specifically critiques the pattern where senior leaders refuse to step away, arguing that structural interventions — not individual heroism — sustain long operations.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severity and scale of the crisis itself, which dictates available response options and resource allocation constraints</w:t>
      </w:r>
    </w:p>
    <w:p>
      <w:pPr>
        <w:spacing w:after="80"/>
        <w:ind w:left="360"/>
      </w:pPr>
      <w:r>
        <w:rPr>
          <w:rFonts w:ascii="Calibri" w:cs="Calibri" w:eastAsia="Calibri" w:hAnsi="Calibri"/>
          <w:i/>
          <w:iCs/>
          <w:sz w:val="20"/>
          <w:szCs w:val="20"/>
        </w:rPr>
        <w:t xml:space="preserve">While crisis scale matters for resource allocation, the chapter's central argument is that organisational sustainability practices — not external crisis characteristics — determine whether the response endures or breaks down. Equally severe crises can produce different outcomes depending on how teams are managed.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quality of the initial crisis plan developed before the event began</w:t>
      </w:r>
    </w:p>
    <w:p>
      <w:pPr>
        <w:spacing w:after="80"/>
        <w:ind w:left="360"/>
      </w:pPr>
      <w:r>
        <w:rPr>
          <w:rFonts w:ascii="Calibri" w:cs="Calibri" w:eastAsia="Calibri" w:hAnsi="Calibri"/>
          <w:i/>
          <w:iCs/>
          <w:sz w:val="20"/>
          <w:szCs w:val="20"/>
        </w:rPr>
        <w:t xml:space="preserve">Students familiar with earlier chapters on planning might select this. However, this chapter emphasises that prolonged crises outlast any initial plan, and what matters is the capacity to sustain adaptive decision-making over time through deliberate rest, handover discipline, and structural resilience.</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Klein's Recognition-Primed Decision (RPD) model, introduced earlier in the course, describes how experienced professionals make rapid decisions by matching current situations to known patterns. According to the chapter, how does cognitive fatigue specifically degrade this process?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Fatigued professionals match to incorrect patterns or fail to notice when conditions have changed since the initial match</w:t>
      </w:r>
    </w:p>
    <w:p>
      <w:pPr>
        <w:spacing w:after="120"/>
        <w:ind w:left="360"/>
      </w:pPr>
      <w:r>
        <w:rPr>
          <w:rFonts w:ascii="Calibri" w:cs="Calibri" w:eastAsia="Calibri" w:hAnsi="Calibri"/>
          <w:i/>
          <w:iCs/>
          <w:sz w:val="20"/>
          <w:szCs w:val="20"/>
        </w:rPr>
        <w:t xml:space="preserve">The chapter retrieves Klein's RPD model and identifies two specific degradation pathways under fatigue: experienced professionals begin matching to the wrong patterns entirely, or they match correctly at one point but then fail to notice when evolving conditions invalidate that match. Both represent failures in the pattern recognition that RPD depends upon.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Fatigued professionals abandon pattern recognition entirely and revert to slow, analytical decision-making that bypasses the intuitive experience-based judgment normally guiding their actions</w:t>
      </w:r>
    </w:p>
    <w:p>
      <w:pPr>
        <w:spacing w:after="80"/>
        <w:ind w:left="360"/>
      </w:pPr>
      <w:r>
        <w:rPr>
          <w:rFonts w:ascii="Calibri" w:cs="Calibri" w:eastAsia="Calibri" w:hAnsi="Calibri"/>
          <w:i/>
          <w:iCs/>
          <w:sz w:val="20"/>
          <w:szCs w:val="20"/>
        </w:rPr>
        <w:t xml:space="preserve">This might seem logical — fatigue causing a shift to deliberate analysis. However, the chapter describes the opposite problem: fatigued professionals continue to use pattern recognition but do so poorly, matching incorrectly rather than switching to a more careful mode. The danger is degraded intuition that still feels like expertise.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Fatigued professionals recognise patterns correctly but become physically unable to implement their chosen actions</w:t>
      </w:r>
    </w:p>
    <w:p>
      <w:pPr>
        <w:spacing w:after="80"/>
        <w:ind w:left="360"/>
      </w:pPr>
      <w:r>
        <w:rPr>
          <w:rFonts w:ascii="Calibri" w:cs="Calibri" w:eastAsia="Calibri" w:hAnsi="Calibri"/>
          <w:i/>
          <w:iCs/>
          <w:sz w:val="20"/>
          <w:szCs w:val="20"/>
        </w:rPr>
        <w:t xml:space="preserve">Students might select this thinking fatigue is primarily a physical limitation. The chapter focuses on cognitive degradation — the decision-making process itself becomes flawed, not just the execution. The RPD failure occurs at the recognition stage, before action is even initiated.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Fatigued professionals become overconfident in their pattern matches and refuse to consult team members</w:t>
      </w:r>
    </w:p>
    <w:p>
      <w:pPr>
        <w:spacing w:after="80"/>
        <w:ind w:left="360"/>
      </w:pPr>
      <w:r>
        <w:rPr>
          <w:rFonts w:ascii="Calibri" w:cs="Calibri" w:eastAsia="Calibri" w:hAnsi="Calibri"/>
          <w:i/>
          <w:iCs/>
          <w:sz w:val="20"/>
          <w:szCs w:val="20"/>
        </w:rPr>
        <w:t xml:space="preserve">While overconfidence can be a fatigue symptom, the chapter's specific description of RPD degradation focuses on the mechanics of pattern recognition — wrong matches and failure to update — rather than interpersonal dynamics around confidence. This conflates a general fatigue effect with the specific RPD degradation mechanism the chapter identifies.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 crisis response team has been operating continuously for 72 hours. The incident commander notices team members making decisions noticeably slower than on day one, focusing on only the most immediate threats while ignoring secondary risks. Which framework from the chapter best explains this observed behaviour?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cognitive load framework, which explains how cumulative stress narrows attention and reduces working memory capacity</w:t>
      </w:r>
    </w:p>
    <w:p>
      <w:pPr>
        <w:spacing w:after="120"/>
        <w:ind w:left="360"/>
      </w:pPr>
      <w:r>
        <w:rPr>
          <w:rFonts w:ascii="Calibri" w:cs="Calibri" w:eastAsia="Calibri" w:hAnsi="Calibri"/>
          <w:i/>
          <w:iCs/>
          <w:sz w:val="20"/>
          <w:szCs w:val="20"/>
        </w:rPr>
        <w:t xml:space="preserve">The chapter retrieves the cognitive load framework to explain how cumulative stress narrows attention and reduces the working memory capacity needed for complex judgment. The symptoms described — slower processing, tunnel vision on immediate threats, neglect of secondary risks — are classic indicators of working memory overload from sustained cognitive demand.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Weick's collective sensemaking framework, which explains the loss of shared situational awareness across the team</w:t>
      </w:r>
    </w:p>
    <w:p>
      <w:pPr>
        <w:spacing w:after="80"/>
        <w:ind w:left="360"/>
      </w:pPr>
      <w:r>
        <w:rPr>
          <w:rFonts w:ascii="Calibri" w:cs="Calibri" w:eastAsia="Calibri" w:hAnsi="Calibri"/>
          <w:i/>
          <w:iCs/>
          <w:sz w:val="20"/>
          <w:szCs w:val="20"/>
        </w:rPr>
        <w:t xml:space="preserve">Weick's sensemaking framework is discussed in the chapter but specifically in relation to shift rotations degrading shared mental models. The scenario describes individual cognitive symptoms — narrowed attention, slowed processing — rather than a breakdown in collective understanding across rotating personnel.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Klein's RPD model, which explains that experienced decision-makers lose access to their stored patterns under pressure</w:t>
      </w:r>
    </w:p>
    <w:p>
      <w:pPr>
        <w:spacing w:after="80"/>
        <w:ind w:left="360"/>
      </w:pPr>
      <w:r>
        <w:rPr>
          <w:rFonts w:ascii="Calibri" w:cs="Calibri" w:eastAsia="Calibri" w:hAnsi="Calibri"/>
          <w:i/>
          <w:iCs/>
          <w:sz w:val="20"/>
          <w:szCs w:val="20"/>
        </w:rPr>
        <w:t xml:space="preserve">While RPD degradation is discussed in the chapter, it specifically involves matching to wrong patterns or failing to notice changed conditions. The symptoms described here — narrowed attention, focus only on immediate stimuli, slower processing — are better explained by cognitive load and working memory reduction rather than pattern-matching errors.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team cohesion erosion model, which explains how interpersonal trust breaks down during extended operations</w:t>
      </w:r>
    </w:p>
    <w:p>
      <w:pPr>
        <w:spacing w:after="80"/>
        <w:ind w:left="360"/>
      </w:pPr>
      <w:r>
        <w:rPr>
          <w:rFonts w:ascii="Calibri" w:cs="Calibri" w:eastAsia="Calibri" w:hAnsi="Calibri"/>
          <w:i/>
          <w:iCs/>
          <w:sz w:val="20"/>
          <w:szCs w:val="20"/>
        </w:rPr>
        <w:t xml:space="preserve">Team cohesion erosion is discussed in the chapter in the context of shift rotations and changing team compositions. The scenario describes cognitive symptoms in individuals (slowed decisions, narrowed focus) rather than interpersonal dynamics, making cognitive load the more precise explanatory framework.</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The chapter identifies that senior leaders during prolonged crises often resist stepping away from the response. What does the chapter identify as the primary reason for this resistance?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They feel that stepping away will be perceived as abandoning the response</w:t>
      </w:r>
    </w:p>
    <w:p>
      <w:pPr>
        <w:spacing w:after="120"/>
        <w:ind w:left="360"/>
      </w:pPr>
      <w:r>
        <w:rPr>
          <w:rFonts w:ascii="Calibri" w:cs="Calibri" w:eastAsia="Calibri" w:hAnsi="Calibri"/>
          <w:i/>
          <w:iCs/>
          <w:sz w:val="20"/>
          <w:szCs w:val="20"/>
        </w:rPr>
        <w:t xml:space="preserve">The chapter specifically describes 'the often-invisible burnout of senior leaders who feel they cannot step away because stepping away looks like abandoning the response.' This identity-driven resistance — equating presence with commitment — is identified as a distinct and dangerous dynamic that prevents leaders from practising the self-management the chapter advocates.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believe no one else on the team possesses the technical expertise to replace them</w:t>
      </w:r>
    </w:p>
    <w:p>
      <w:pPr>
        <w:spacing w:after="80"/>
        <w:ind w:left="360"/>
      </w:pPr>
      <w:r>
        <w:rPr>
          <w:rFonts w:ascii="Calibri" w:cs="Calibri" w:eastAsia="Calibri" w:hAnsi="Calibri"/>
          <w:i/>
          <w:iCs/>
          <w:sz w:val="20"/>
          <w:szCs w:val="20"/>
        </w:rPr>
        <w:t xml:space="preserve">While concerns about technical capability might contribute to reluctance, the chapter specifically frames the resistance in terms of perception and identity — the fear of appearing to abandon the effort — rather than a rational assessment of team capability. This is a subtler, more psychological barrier.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are experiencing an adrenaline-fuelled state that prevents them from recognising their own fatigue</w:t>
      </w:r>
    </w:p>
    <w:p>
      <w:pPr>
        <w:spacing w:after="80"/>
        <w:ind w:left="360"/>
      </w:pPr>
      <w:r>
        <w:rPr>
          <w:rFonts w:ascii="Calibri" w:cs="Calibri" w:eastAsia="Calibri" w:hAnsi="Calibri"/>
          <w:i/>
          <w:iCs/>
          <w:sz w:val="20"/>
          <w:szCs w:val="20"/>
        </w:rPr>
        <w:t xml:space="preserve">Adrenaline and fatigue blindness are related concepts, but the chapter's specific diagnosis is about social perception — the fear that stepping away looks like abandonment. This is a conscious identity concern, not merely a failure to recognise physiological fatigue.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Organisational policies typically require the senior leader to maintain unbroken presence during crisis operations</w:t>
      </w:r>
    </w:p>
    <w:p>
      <w:pPr>
        <w:spacing w:after="80"/>
        <w:ind w:left="360"/>
      </w:pPr>
      <w:r>
        <w:rPr>
          <w:rFonts w:ascii="Calibri" w:cs="Calibri" w:eastAsia="Calibri" w:hAnsi="Calibri"/>
          <w:i/>
          <w:iCs/>
          <w:sz w:val="20"/>
          <w:szCs w:val="20"/>
        </w:rPr>
        <w:t xml:space="preserve">Students might assume formal policies drive this behaviour. However, the chapter frames it as an internal, psychological dynamic — a felt pressure about how departure will be perceived — rather than a formal organisational mandate. The chapter actually advocates for structural solutions that legitimise leader rest.</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According to Weick's concept of collective sensemaking as applied in this chapter, what is the core problem when team members rotate through shifts during a prolonged crisis?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Rotating members carry slightly different mental models of the situation, degrading the team's shared understanding</w:t>
      </w:r>
    </w:p>
    <w:p>
      <w:pPr>
        <w:spacing w:after="120"/>
        <w:ind w:left="360"/>
      </w:pPr>
      <w:r>
        <w:rPr>
          <w:rFonts w:ascii="Calibri" w:cs="Calibri" w:eastAsia="Calibri" w:hAnsi="Calibri"/>
          <w:i/>
          <w:iCs/>
          <w:sz w:val="20"/>
          <w:szCs w:val="20"/>
        </w:rPr>
        <w:t xml:space="preserve">The chapter applies Weick's collective sensemaking concept to explain how shift rotations introduce divergent mental models. When team members cycle in and out, each brings a slightly different understanding of the evolving situation, and the team's previously cohesive shared picture fragments — even if each individual is competent.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New shift members challenge existing decisions, creating interpersonal conflict that stalls the response</w:t>
      </w:r>
    </w:p>
    <w:p>
      <w:pPr>
        <w:spacing w:after="80"/>
        <w:ind w:left="360"/>
      </w:pPr>
      <w:r>
        <w:rPr>
          <w:rFonts w:ascii="Calibri" w:cs="Calibri" w:eastAsia="Calibri" w:hAnsi="Calibri"/>
          <w:i/>
          <w:iCs/>
          <w:sz w:val="20"/>
          <w:szCs w:val="20"/>
        </w:rPr>
        <w:t xml:space="preserve">While interpersonal friction might occur during rotations, the chapter's application of Weick focuses on the epistemological problem — divergent mental models — rather than personality conflicts. The issue is not that newcomers challenge decisions, but that the collective understanding silently drifts apart.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Incoming shift members lack the technical skills that outgoing members developed during the crisis</w:t>
      </w:r>
    </w:p>
    <w:p>
      <w:pPr>
        <w:spacing w:after="80"/>
        <w:ind w:left="360"/>
      </w:pPr>
      <w:r>
        <w:rPr>
          <w:rFonts w:ascii="Calibri" w:cs="Calibri" w:eastAsia="Calibri" w:hAnsi="Calibri"/>
          <w:i/>
          <w:iCs/>
          <w:sz w:val="20"/>
          <w:szCs w:val="20"/>
        </w:rPr>
        <w:t xml:space="preserve">This focuses on technical skill gaps, but the chapter's application of sensemaking is about shared understanding of the situation, not individual competence. A technically skilled incoming member can still hold a mental model that diverges from the team's evolving picture, which is the sensemaking problem.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Outgoing shift members withhold critical information to protect their reputation if earlier decisions were flawed</w:t>
      </w:r>
    </w:p>
    <w:p>
      <w:pPr>
        <w:spacing w:after="80"/>
        <w:ind w:left="360"/>
      </w:pPr>
      <w:r>
        <w:rPr>
          <w:rFonts w:ascii="Calibri" w:cs="Calibri" w:eastAsia="Calibri" w:hAnsi="Calibri"/>
          <w:i/>
          <w:iCs/>
          <w:sz w:val="20"/>
          <w:szCs w:val="20"/>
        </w:rPr>
        <w:t xml:space="preserve">While information withholding could occur in some settings, the chapter frames the sensemaking problem as a structural inevitability of rotation — not a deliberate act. Mental models naturally diverge when people experience different phases of a crisis, even with honest and thorough handovers.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The chapter argues that sustaining team morale during prolonged operations requires specific structural interventions rather than a different approach. Which of the following does the chapter explicitly contrast structural interventions against?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Motivational speeches from leaders</w:t>
      </w:r>
    </w:p>
    <w:p>
      <w:pPr>
        <w:spacing w:after="120"/>
        <w:ind w:left="360"/>
      </w:pPr>
      <w:r>
        <w:rPr>
          <w:rFonts w:ascii="Calibri" w:cs="Calibri" w:eastAsia="Calibri" w:hAnsi="Calibri"/>
          <w:i/>
          <w:iCs/>
          <w:sz w:val="20"/>
          <w:szCs w:val="20"/>
        </w:rPr>
        <w:t xml:space="preserve">The chapter explicitly states that team resilience is sustained 'not with motivational speeches but with structural interventions: shift design, deliberate rest protocols, information handover discipline, acknowledgment of strain, and the creation of psychological safety.' This directly contrasts inspirational rhetoric with concrete operational design.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Financial incentives and overtime compensation</w:t>
      </w:r>
    </w:p>
    <w:p>
      <w:pPr>
        <w:spacing w:after="80"/>
        <w:ind w:left="360"/>
      </w:pPr>
      <w:r>
        <w:rPr>
          <w:rFonts w:ascii="Calibri" w:cs="Calibri" w:eastAsia="Calibri" w:hAnsi="Calibri"/>
          <w:i/>
          <w:iCs/>
          <w:sz w:val="20"/>
          <w:szCs w:val="20"/>
        </w:rPr>
        <w:t xml:space="preserve">While financial incentives could theoretically be a morale tool, the chapter does not discuss them or contrast them with structural interventions. The specific contrast drawn in the text is between inspirational rhetoric (motivational speeches) and concrete structural systems.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Individual psychological counselling sessions</w:t>
      </w:r>
    </w:p>
    <w:p>
      <w:pPr>
        <w:spacing w:after="80"/>
        <w:ind w:left="360"/>
      </w:pPr>
      <w:r>
        <w:rPr>
          <w:rFonts w:ascii="Calibri" w:cs="Calibri" w:eastAsia="Calibri" w:hAnsi="Calibri"/>
          <w:i/>
          <w:iCs/>
          <w:sz w:val="20"/>
          <w:szCs w:val="20"/>
        </w:rPr>
        <w:t xml:space="preserve">Psychological support is a legitimate crisis response tool, but the chapter does not draw its central contrast against counselling. The explicit contrast is between motivational speeches and structural interventions like shift design, rest protocols, and handover discipline.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Rotating leadership authority among team members</w:t>
      </w:r>
    </w:p>
    <w:p>
      <w:pPr>
        <w:spacing w:after="80"/>
        <w:ind w:left="360"/>
      </w:pPr>
      <w:r>
        <w:rPr>
          <w:rFonts w:ascii="Calibri" w:cs="Calibri" w:eastAsia="Calibri" w:hAnsi="Calibri"/>
          <w:i/>
          <w:iCs/>
          <w:sz w:val="20"/>
          <w:szCs w:val="20"/>
        </w:rPr>
        <w:t xml:space="preserve">Leadership rotation is not discussed as the alternative that structural interventions are contrasted against. The chapter's specific rhetorical contrast is between motivational speeches — a charismatic, individually driven approach — and the systematic, structural interventions it advocates.</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crisis response coordinator designs a shift handover protocol for a multi-week disaster response. Which element is most critical for maintaining information continuity according to the chapter's principles?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structured process that transfers the outgoing team's current operational picture, including unresolved ambiguities and evolving risks</w:t>
      </w:r>
    </w:p>
    <w:p>
      <w:pPr>
        <w:spacing w:after="120"/>
        <w:ind w:left="360"/>
      </w:pPr>
      <w:r>
        <w:rPr>
          <w:rFonts w:ascii="Calibri" w:cs="Calibri" w:eastAsia="Calibri" w:hAnsi="Calibri"/>
          <w:i/>
          <w:iCs/>
          <w:sz w:val="20"/>
          <w:szCs w:val="20"/>
        </w:rPr>
        <w:t xml:space="preserve">The chapter emphasises information handover discipline and the maintenance of a shared operational picture across shift changes. Effective handover must transfer not just facts but the nuanced, evolving understanding of the situation — including uncertainties and emerging risks — to prevent the sensemaking degradation that Weick's framework predicts.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comprehensive written log of every decision made during the outgoing shift, archived for post-crisis review</w:t>
      </w:r>
    </w:p>
    <w:p>
      <w:pPr>
        <w:spacing w:after="80"/>
        <w:ind w:left="360"/>
      </w:pPr>
      <w:r>
        <w:rPr>
          <w:rFonts w:ascii="Calibri" w:cs="Calibri" w:eastAsia="Calibri" w:hAnsi="Calibri"/>
          <w:i/>
          <w:iCs/>
          <w:sz w:val="20"/>
          <w:szCs w:val="20"/>
        </w:rPr>
        <w:t xml:space="preserve">Students might select this because documentation seems thorough. However, a complete historical record serves accountability and learning, not real-time operational continuity. The chapter's concern is transferring the living situational picture — including ambiguities — not creating an exhaustive archive.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brief verbal summary between outgoing and incoming shift leaders, allowing the new team to form their own fresh assessment</w:t>
      </w:r>
    </w:p>
    <w:p>
      <w:pPr>
        <w:spacing w:after="80"/>
        <w:ind w:left="360"/>
      </w:pPr>
      <w:r>
        <w:rPr>
          <w:rFonts w:ascii="Calibri" w:cs="Calibri" w:eastAsia="Calibri" w:hAnsi="Calibri"/>
          <w:i/>
          <w:iCs/>
          <w:sz w:val="20"/>
          <w:szCs w:val="20"/>
        </w:rPr>
        <w:t xml:space="preserve">This might appeal to students who value fresh perspectives. However, the chapter warns that divergent mental models degrade collective sensemaking. A brief, informal handover with an expectation of independent assessment would accelerate exactly the kind of shared-understanding erosion the chapter identifies as dangerous.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standardised status dashboard that incoming teams can review independently before beginning their shift</w:t>
      </w:r>
    </w:p>
    <w:p>
      <w:pPr>
        <w:spacing w:after="80"/>
        <w:ind w:left="360"/>
      </w:pPr>
      <w:r>
        <w:rPr>
          <w:rFonts w:ascii="Calibri" w:cs="Calibri" w:eastAsia="Calibri" w:hAnsi="Calibri"/>
          <w:i/>
          <w:iCs/>
          <w:sz w:val="20"/>
          <w:szCs w:val="20"/>
        </w:rPr>
        <w:t xml:space="preserve">While dashboards are useful tools, a technology-only approach misses the chapter's emphasis on transferring the interpretive context behind the data — what the numbers mean, what uncertainties exist, what has been changing. Information continuity requires structured human interaction, not just data display.</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chapter describes the creation of psychological safety as a structural intervention for prolonged operations. In this specific context, what function does psychological safety primarily serve?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enables team members to declare that they are not fit to make a decision at that moment without fear of professional consequences</w:t>
      </w:r>
    </w:p>
    <w:p>
      <w:pPr>
        <w:spacing w:after="120"/>
        <w:ind w:left="360"/>
      </w:pPr>
      <w:r>
        <w:rPr>
          <w:rFonts w:ascii="Calibri" w:cs="Calibri" w:eastAsia="Calibri" w:hAnsi="Calibri"/>
          <w:i/>
          <w:iCs/>
          <w:sz w:val="20"/>
          <w:szCs w:val="20"/>
        </w:rPr>
        <w:t xml:space="preserve">The chapter specifically identifies psychological safety as enabling team members to say 'I am not fit to make this decision right now.' In the context of prolonged crisis operations, this is critical because it creates a legitimate mechanism for recognising and acting on individual cognitive degradation before it produces dangerous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allows team members to openly express emotional distress so that peer support can be offered and psychological burden is shared across the team</w:t>
      </w:r>
    </w:p>
    <w:p>
      <w:pPr>
        <w:spacing w:after="80"/>
        <w:ind w:left="360"/>
      </w:pPr>
      <w:r>
        <w:rPr>
          <w:rFonts w:ascii="Calibri" w:cs="Calibri" w:eastAsia="Calibri" w:hAnsi="Calibri"/>
          <w:i/>
          <w:iCs/>
          <w:sz w:val="20"/>
          <w:szCs w:val="20"/>
        </w:rPr>
        <w:t xml:space="preserve">While emotional expression may be a component of psychological safety broadly, the chapter frames it specifically around the operational function of declaring unfitness for decision-making. The focus is on preventing degraded decisions, not primarily on emotional wellbeing or peer support.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encourages team members to challenge the incident commander's strategy without risking their role in the response</w:t>
      </w:r>
    </w:p>
    <w:p>
      <w:pPr>
        <w:spacing w:after="80"/>
        <w:ind w:left="360"/>
      </w:pPr>
      <w:r>
        <w:rPr>
          <w:rFonts w:ascii="Calibri" w:cs="Calibri" w:eastAsia="Calibri" w:hAnsi="Calibri"/>
          <w:i/>
          <w:iCs/>
          <w:sz w:val="20"/>
          <w:szCs w:val="20"/>
        </w:rPr>
        <w:t xml:space="preserve">Challenging authority is a general psychological safety concept, but the chapter applies it specifically to self-declaration of impairment during sustained operations. The critical function here is individuals recognising their own degradation, not challenging hierarchical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reduces interpersonal conflict by establishing norms of respectful communication during high-stress periods</w:t>
      </w:r>
    </w:p>
    <w:p>
      <w:pPr>
        <w:spacing w:after="80"/>
        <w:ind w:left="360"/>
      </w:pPr>
      <w:r>
        <w:rPr>
          <w:rFonts w:ascii="Calibri" w:cs="Calibri" w:eastAsia="Calibri" w:hAnsi="Calibri"/>
          <w:i/>
          <w:iCs/>
          <w:sz w:val="20"/>
          <w:szCs w:val="20"/>
        </w:rPr>
        <w:t xml:space="preserve">Respectful communication norms are valuable but represent a general team dynamic rather than the specific function the chapter assigns to psychological safety. The chapter's focus is on the concrete operational act of a team member being able to step back from decision authority when cognitively compromised.</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Consider two crisis response teams managing a flood emergency entering its third week. Team A maintains the same core leadership group working 16-hour days with no formal rest protocol. Team B implements structured shift rotations with mandatory rest periods, even though this means less experienced personnel sometimes lead operations. Based on the chapter's analysis, which prediction is most accurate?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Team A will likely experience severe decision degradation from cumulative cognitive fatigue, ultimately producing worse outcomes despite greater individual experience per shift</w:t>
      </w:r>
    </w:p>
    <w:p>
      <w:pPr>
        <w:spacing w:after="120"/>
        <w:ind w:left="360"/>
      </w:pPr>
      <w:r>
        <w:rPr>
          <w:rFonts w:ascii="Calibri" w:cs="Calibri" w:eastAsia="Calibri" w:hAnsi="Calibri"/>
          <w:i/>
          <w:iCs/>
          <w:sz w:val="20"/>
          <w:szCs w:val="20"/>
        </w:rPr>
        <w:t xml:space="preserve">The chapter's central argument is that cognitive fatigue produces measurable decline in decision quality over extended operations. Team A's approach — relying on experienced but exhausted personnel — exemplifies the pattern the chapter warns against. The cumulative cognitive load will narrow attention, degrade pattern recognition, and reduce working memory, outweighing the advantage of individual expertise.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Team B will likely experience more critical errors due to the information continuity gaps created by frequent shift handovers</w:t>
      </w:r>
    </w:p>
    <w:p>
      <w:pPr>
        <w:spacing w:after="80"/>
        <w:ind w:left="360"/>
      </w:pPr>
      <w:r>
        <w:rPr>
          <w:rFonts w:ascii="Calibri" w:cs="Calibri" w:eastAsia="Calibri" w:hAnsi="Calibri"/>
          <w:i/>
          <w:iCs/>
          <w:sz w:val="20"/>
          <w:szCs w:val="20"/>
        </w:rPr>
        <w:t xml:space="preserve">Students might reason that handover gaps pose a greater risk than fatigue. While the chapter acknowledges handover challenges and the sensemaking problems of rotation, it treats these as manageable through structured protocols. In contrast, cognitive fatigue without rest is presented as producing inevitable, progressive degradation that cannot be overcome through willpower.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teams will perform similarly because experienced leaders can compensate for fatigue through disciplined application of crisis management frameworks</w:t>
      </w:r>
    </w:p>
    <w:p>
      <w:pPr>
        <w:spacing w:after="80"/>
        <w:ind w:left="360"/>
      </w:pPr>
      <w:r>
        <w:rPr>
          <w:rFonts w:ascii="Calibri" w:cs="Calibri" w:eastAsia="Calibri" w:hAnsi="Calibri"/>
          <w:i/>
          <w:iCs/>
          <w:sz w:val="20"/>
          <w:szCs w:val="20"/>
        </w:rPr>
        <w:t xml:space="preserve">This reflects a common misconception that expertise is fatigue-proof. The chapter directly challenges this by showing how RPD and other expert processes degrade under sustained cognitive load. Experience does not immunise professionals against the neurological effects of sleep deprivation and cumulative stress.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Team A will outperform Team B during the first three weeks but performance will equalise by week four as both teams adapt to the sustained operational demands</w:t>
      </w:r>
    </w:p>
    <w:p>
      <w:pPr>
        <w:spacing w:after="80"/>
        <w:ind w:left="360"/>
      </w:pPr>
      <w:r>
        <w:rPr>
          <w:rFonts w:ascii="Calibri" w:cs="Calibri" w:eastAsia="Calibri" w:hAnsi="Calibri"/>
          <w:i/>
          <w:iCs/>
          <w:sz w:val="20"/>
          <w:szCs w:val="20"/>
        </w:rPr>
        <w:t xml:space="preserve">This implies adaptation to fatigue over time, which contradicts the chapter's evidence that cognitive degradation is cumulative and progressive, not something the body adapts to. The chapter presents fatigue effects as worsening, not stabilising, without deliberate rest intervention.</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The Thai cave rescue, Fukushima Daiichi response, and Australian Black Summer bushfires are all used as cases in this chapter. Despite their vastly different contexts, what common operational challenge does the chapter use all three cases to illustrate?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challenge of sustaining effective crisis response when operations extend far beyond the period that initial mobilisation energy can support</w:t>
      </w:r>
    </w:p>
    <w:p>
      <w:pPr>
        <w:spacing w:after="120"/>
        <w:ind w:left="360"/>
      </w:pPr>
      <w:r>
        <w:rPr>
          <w:rFonts w:ascii="Calibri" w:cs="Calibri" w:eastAsia="Calibri" w:hAnsi="Calibri"/>
          <w:i/>
          <w:iCs/>
          <w:sz w:val="20"/>
          <w:szCs w:val="20"/>
        </w:rPr>
        <w:t xml:space="preserve">The chapter uses these three diverse cases — spanning 17 days, months to years, and five months respectively — to illustrate its central theme: that prolonged crises exhaust initial surge capacity and require fundamentally different approaches to sustaining operations, decision quality, and team resilience over time. The diversity of contexts strengthens the argument that duration itself is the critical variable.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challenge of coordinating multiple government agencies with competing jurisdictional authority during large-scale disasters</w:t>
      </w:r>
    </w:p>
    <w:p>
      <w:pPr>
        <w:spacing w:after="80"/>
        <w:ind w:left="360"/>
      </w:pPr>
      <w:r>
        <w:rPr>
          <w:rFonts w:ascii="Calibri" w:cs="Calibri" w:eastAsia="Calibri" w:hAnsi="Calibri"/>
          <w:i/>
          <w:iCs/>
          <w:sz w:val="20"/>
          <w:szCs w:val="20"/>
        </w:rPr>
        <w:t xml:space="preserve">Inter-agency coordination is a real crisis management challenge, but the chapter does not use these three cases to examine jurisdictional issues. The common thread identified is temporal — all three involved extended durations that tested human and organisational endurance beyond initial capacity.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challenge of managing public communication and media scrutiny during high-profile crisis events</w:t>
      </w:r>
    </w:p>
    <w:p>
      <w:pPr>
        <w:spacing w:after="80"/>
        <w:ind w:left="360"/>
      </w:pPr>
      <w:r>
        <w:rPr>
          <w:rFonts w:ascii="Calibri" w:cs="Calibri" w:eastAsia="Calibri" w:hAnsi="Calibri"/>
          <w:i/>
          <w:iCs/>
          <w:sz w:val="20"/>
          <w:szCs w:val="20"/>
        </w:rPr>
        <w:t xml:space="preserve">While all three cases received significant media attention, the chapter's focus is on internal operational sustainability — cognitive fatigue, shift management, and leader resilience — not external communication challenges. Students may select this because these were high-profile events, but media management is not the chapter's analytical lens.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challenge of making irreversible decisions under extreme uncertainty when lives are immediately at risk, with incomplete information about developing conditions</w:t>
      </w:r>
    </w:p>
    <w:p>
      <w:pPr>
        <w:spacing w:after="80"/>
        <w:ind w:left="360"/>
      </w:pPr>
      <w:r>
        <w:rPr>
          <w:rFonts w:ascii="Calibri" w:cs="Calibri" w:eastAsia="Calibri" w:hAnsi="Calibri"/>
          <w:i/>
          <w:iCs/>
          <w:sz w:val="20"/>
          <w:szCs w:val="20"/>
        </w:rPr>
        <w:t xml:space="preserve">High-stakes decision-making under uncertainty is a crisis management theme, but it applies to short crises too. The chapter specifically selects these cases because of their extended duration, using them to examine what happens when the crisis 'refuses to end' — a temporal challenge, not merely a stakes-and-uncertainty challenge.</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2026-02-20T06:46:38.899Z</dcterms:created>
  <dcterms:modified xsi:type="dcterms:W3CDTF">2026-02-20T06:46:38.899Z</dcterms:modified>
</cp:coreProperties>
</file>

<file path=docProps/custom.xml><?xml version="1.0" encoding="utf-8"?>
<Properties xmlns="http://schemas.openxmlformats.org/officeDocument/2006/custom-properties" xmlns:vt="http://schemas.openxmlformats.org/officeDocument/2006/docPropsVTypes"/>
</file>