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80"/>
        <w:jc w:val="center"/>
      </w:pPr>
      <w:r>
        <w:rPr>
          <w:rFonts w:ascii="Calibri" w:cs="Calibri" w:eastAsia="Calibri" w:hAnsi="Calibri"/>
          <w:sz w:val="24"/>
          <w:szCs w:val="24"/>
        </w:rPr>
        <w:t xml:space="preserve">The Long Night — In-Class Quiz</w:t>
      </w:r>
    </w:p>
    <w:p>
      <w:pPr>
        <w:spacing w:after="200"/>
        <w:jc w:val="center"/>
      </w:pPr>
      <w:r>
        <w:rPr>
          <w:rFonts w:ascii="Calibri" w:cs="Calibri" w:eastAsia="Calibri" w:hAnsi="Calibri"/>
          <w:b/>
          <w:bCs/>
          <w:sz w:val="28"/>
          <w:szCs w:val="28"/>
        </w:rPr>
        <w:t xml:space="preserve">Version C</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 crisis response coordinator designs a shift handover protocol for a multi-week disaster response. Which element is most critical for maintaining information continuity according to the chapter's principles?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standardised status dashboard that incoming teams can review independently before beginning their shift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brief verbal summary between outgoing and incoming shift leaders, allowing the new team to form their own fresh assessment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comprehensive written log of every decision made during the outgoing shift, archived for post-crisis review</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structured process that transfers the outgoing team's current operational picture, including unresolved ambiguities and evolving risks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The chapter argues that sustaining team morale during prolonged operations requires specific structural interventions rather than a different approach. Which of the following does the chapter explicitly contrast structural interventions against?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Motivational speeches from leaders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Financial incentives and overtime compensation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Rotating leadership authority among team members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Individual psychological counselling sessions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The chapter describes the creation of psychological safety as a structural intervention for prolonged operations. In this specific context, what function does psychological safety primarily serve?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allows team members to openly express emotional distress so that peer support can be offered and psychological burden is shared across the team</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reduces interpersonal conflict by establishing norms of respectful communication during high-stress periods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encourages team members to challenge the incident commander's strategy without risking their role in the response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enables team members to declare that they are not fit to make a decision at that moment without fear of professional consequences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During the Australian Black Summer bushfire season, initial mobilisation energy eventually gave way to prolonged operational demands lasting five months. According to the chapter, what primarily determines whether a crisis response holds or collapses once initial adrenaline fades?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quality of the initial crisis plan developed before the event began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personal stamina and physical endurance of the senior leader directing operations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severity and scale of the crisis itself, which dictates available response options and resource allocation constraints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structural systems and rhythms that sustain performance after initial energy is depleted</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crisis response team has been operating continuously for 72 hours. The incident commander notices team members making decisions noticeably slower than on day one, focusing on only the most immediate threats while ignoring secondary risks. Which framework from the chapter best explains this observed behaviour?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team cohesion erosion model, which explains how interpersonal trust breaks down during extended operations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Klein's RPD model, which explains that experienced decision-makers lose access to their stored patterns under pressure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Weick's collective sensemaking framework, which explains the loss of shared situational awareness across the team</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cognitive load framework, which explains how cumulative stress narrows attention and reduces working memory capacity</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According to Weick's concept of collective sensemaking as applied in this chapter, what is the core problem when team members rotate through shifts during a prolonged crisis?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Rotating members carry slightly different mental models of the situation, degrading the team's shared understanding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New shift members challenge existing decisions, creating interpersonal conflict that stalls the response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Outgoing shift members withhold critical information to protect their reputation if earlier decisions were flawed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Incoming shift members lack the technical skills that outgoing members developed during the crisis</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Consider two crisis response teams managing a flood emergency entering its third week. Team A maintains the same core leadership group working 16-hour days with no formal rest protocol. Team B implements structured shift rotations with mandatory rest periods, even though this means less experienced personnel sometimes lead operations. Based on the chapter's analysis, which prediction is most accurate?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Team B will likely experience more critical errors due to the information continuity gaps created by frequent shift handovers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Team A will likely experience severe decision degradation from cumulative cognitive fatigue, ultimately producing worse outcomes despite greater individual experience per shift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Both teams will perform similarly because experienced leaders can compensate for fatigue through disciplined application of crisis management frameworks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Team A will outperform Team B during the first three weeks but performance will equalise by week four as both teams adapt to the sustained operational demands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The Thai cave rescue, Fukushima Daiichi response, and Australian Black Summer bushfires are all used as cases in this chapter. Despite their vastly different contexts, what common operational challenge does the chapter use all three cases to illustrate?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challenge of making irreversible decisions under extreme uncertainty when lives are immediately at risk, with incomplete information about developing conditions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challenge of coordinating multiple government agencies with competing jurisdictional authority during large-scale disasters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challenge of sustaining effective crisis response when operations extend far beyond the period that initial mobilisation energy can support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challenge of managing public communication and media scrutiny during high-profile crisis events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Klein's Recognition-Primed Decision (RPD) model, introduced earlier in the course, describes how experienced professionals make rapid decisions by matching current situations to known patterns. According to the chapter, how does cognitive fatigue specifically degrade this process?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Fatigued professionals recognise patterns correctly but become physically unable to implement their chosen actions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Fatigued professionals abandon pattern recognition entirely and revert to slow, analytical decision-making that bypasses the intuitive experience-based judgment normally guiding their actions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Fatigued professionals become overconfident in their pattern matches and refuse to consult team members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Fatigued professionals match to incorrect patterns or fail to notice when conditions have changed since the initial match</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The chapter identifies that senior leaders during prolonged crises often resist stepping away from the response. What does the chapter identify as the primary reason for this resistance?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Organisational policies typically require the senior leader to maintain unbroken presence during crisis operations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feel that stepping away will be perceived as abandoning the response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are experiencing an adrenaline-fuelled state that prevents them from recognising their own fatigue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believe no one else on the team possesses the technical expertise to replace them</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2026-02-20T06:46:38.875Z</dcterms:created>
  <dcterms:modified xsi:type="dcterms:W3CDTF">2026-02-20T06:46:38.875Z</dcterms:modified>
</cp:coreProperties>
</file>

<file path=docProps/custom.xml><?xml version="1.0" encoding="utf-8"?>
<Properties xmlns="http://schemas.openxmlformats.org/officeDocument/2006/custom-properties" xmlns:vt="http://schemas.openxmlformats.org/officeDocument/2006/docPropsVTypes"/>
</file>