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200"/>
        <w:jc w:val="center"/>
      </w:pPr>
      <w:r>
        <w:rPr>
          <w:rFonts w:ascii="Calibri" w:cs="Calibri" w:eastAsia="Calibri" w:hAnsi="Calibri"/>
          <w:b/>
          <w:bCs/>
          <w:sz w:val="26"/>
          <w:szCs w:val="26"/>
        </w:rPr>
        <w:t xml:space="preserve">After the Smoke Clears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According to Dekker's just culture framework, what is the primary danger of responding to organisational failure by identifying and punishing the individual who made the mistake?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drives error reporting underground and leaves the systemic conditions that caused the failure unchanged</w:t>
      </w:r>
    </w:p>
    <w:p>
      <w:pPr>
        <w:spacing w:after="120"/>
        <w:ind w:left="360"/>
      </w:pPr>
      <w:r>
        <w:rPr>
          <w:rFonts w:ascii="Calibri" w:cs="Calibri" w:eastAsia="Calibri" w:hAnsi="Calibri"/>
          <w:i/>
          <w:iCs/>
          <w:sz w:val="20"/>
          <w:szCs w:val="20"/>
        </w:rPr>
        <w:t xml:space="preserve">Dekker argues that blame-and-punish responses are not only unjust but actively dangerous to organisational safety. When individuals fear punishment, they stop reporting errors and near-misses, eliminating the organisation's ability to detect and correct the systemic conditions that will produce the next failure.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creates legal liability for the organisation by formally establishing individual negligence</w:t>
      </w:r>
    </w:p>
    <w:p>
      <w:pPr>
        <w:spacing w:after="80"/>
        <w:ind w:left="360"/>
      </w:pPr>
      <w:r>
        <w:rPr>
          <w:rFonts w:ascii="Calibri" w:cs="Calibri" w:eastAsia="Calibri" w:hAnsi="Calibri"/>
          <w:i/>
          <w:iCs/>
          <w:sz w:val="20"/>
          <w:szCs w:val="20"/>
        </w:rPr>
        <w:t xml:space="preserve">Students might choose this because legal consequences are a real organisational concern. However, Dekker's primary argument is about the effect on safety culture and learning, not about legal exposure — the core danger is the silencing of error reporting and the persistence of systemic vulnerabilities.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damages team morale and increases staff turnover in the short term</w:t>
      </w:r>
    </w:p>
    <w:p>
      <w:pPr>
        <w:spacing w:after="80"/>
        <w:ind w:left="360"/>
      </w:pPr>
      <w:r>
        <w:rPr>
          <w:rFonts w:ascii="Calibri" w:cs="Calibri" w:eastAsia="Calibri" w:hAnsi="Calibri"/>
          <w:i/>
          <w:iCs/>
          <w:sz w:val="20"/>
          <w:szCs w:val="20"/>
        </w:rPr>
        <w:t xml:space="preserve">While morale effects may occur, this answer reduces Dekker's argument to a human resources concern. The framework's central claim is far more consequential: that punitive responses actively make the organisation less safe by destroying the information flow needed to prevent future failures.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prevents the organisation from accessing the punished individual's expertise in future crises</w:t>
      </w:r>
    </w:p>
    <w:p>
      <w:pPr>
        <w:spacing w:after="80"/>
        <w:ind w:left="360"/>
      </w:pPr>
      <w:r>
        <w:rPr>
          <w:rFonts w:ascii="Calibri" w:cs="Calibri" w:eastAsia="Calibri" w:hAnsi="Calibri"/>
          <w:i/>
          <w:iCs/>
          <w:sz w:val="20"/>
          <w:szCs w:val="20"/>
        </w:rPr>
        <w:t xml:space="preserve">This focuses on the loss of one person's contribution, which misses the systemic point entirely. Dekker's concern is not about losing a single expert but about the organisation-wide chilling effect on reporting and the way blame obscures the deeper systemic factors behind failure.</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In the context of post-incident review, James Reason's Swiss Cheese model is applied as which of the following?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retrospective lens for tracing how systemic conditions aligned to produce the failure</w:t>
      </w:r>
    </w:p>
    <w:p>
      <w:pPr>
        <w:spacing w:after="120"/>
        <w:ind w:left="360"/>
      </w:pPr>
      <w:r>
        <w:rPr>
          <w:rFonts w:ascii="Calibri" w:cs="Calibri" w:eastAsia="Calibri" w:hAnsi="Calibri"/>
          <w:i/>
          <w:iCs/>
          <w:sz w:val="20"/>
          <w:szCs w:val="20"/>
        </w:rPr>
        <w:t xml:space="preserve">The chapter revisits Reason's Swiss Cheese model from its earlier introduction as a forward-looking analytical tool and reframes it as a retrospective instrument. In post-incident review, the model helps investigators trace backwards through the multiple layers of defences that simultaneously failed, revealing the systemic conditions rather than isolating a single point of blame.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predictive tool for forecasting which organisational systems are most likely to fail next</w:t>
      </w:r>
    </w:p>
    <w:p>
      <w:pPr>
        <w:spacing w:after="80"/>
        <w:ind w:left="360"/>
      </w:pPr>
      <w:r>
        <w:rPr>
          <w:rFonts w:ascii="Calibri" w:cs="Calibri" w:eastAsia="Calibri" w:hAnsi="Calibri"/>
          <w:i/>
          <w:iCs/>
          <w:sz w:val="20"/>
          <w:szCs w:val="20"/>
        </w:rPr>
        <w:t xml:space="preserve">Students may recall that the Swiss Cheese model can be used proactively, as introduced in Chapter 1. However, in the specific context of post-incident review discussed in this chapter, the model is applied retrospectively — looking backwards to understand what happened, not forward to predict what might happen.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compliance checklist to verify that all required safety protocols were followed during the crisis</w:t>
      </w:r>
    </w:p>
    <w:p>
      <w:pPr>
        <w:spacing w:after="80"/>
        <w:ind w:left="360"/>
      </w:pPr>
      <w:r>
        <w:rPr>
          <w:rFonts w:ascii="Calibri" w:cs="Calibri" w:eastAsia="Calibri" w:hAnsi="Calibri"/>
          <w:i/>
          <w:iCs/>
          <w:sz w:val="20"/>
          <w:szCs w:val="20"/>
        </w:rPr>
        <w:t xml:space="preserve">This reflects a procedural, box-ticking understanding of safety analysis. The Swiss Cheese model is about understanding how multiple layers of defence can have simultaneous weaknesses that align, not about checking whether individual protocols were followed correctly.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communication framework for presenting findings to external stakeholders and regulators</w:t>
      </w:r>
    </w:p>
    <w:p>
      <w:pPr>
        <w:spacing w:after="80"/>
        <w:ind w:left="360"/>
      </w:pPr>
      <w:r>
        <w:rPr>
          <w:rFonts w:ascii="Calibri" w:cs="Calibri" w:eastAsia="Calibri" w:hAnsi="Calibri"/>
          <w:i/>
          <w:iCs/>
          <w:sz w:val="20"/>
          <w:szCs w:val="20"/>
        </w:rPr>
        <w:t xml:space="preserve">While investigation findings must eventually be communicated, the Swiss Cheese model is an analytical framework for understanding failure causation, not a communication or reporting structure. Students who choose this may be confusing the model's purpose with the output stage of a review process.</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Why does the chapter identify the instinct to 'move on' after a crisis as one of the most damaging things an organisation can do?</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forecloses the learning process and allows the systemic conditions that produced the crisis to remain in place</w:t>
      </w:r>
    </w:p>
    <w:p>
      <w:pPr>
        <w:spacing w:after="120"/>
        <w:ind w:left="360"/>
      </w:pPr>
      <w:r>
        <w:rPr>
          <w:rFonts w:ascii="Calibri" w:cs="Calibri" w:eastAsia="Calibri" w:hAnsi="Calibri"/>
          <w:i/>
          <w:iCs/>
          <w:sz w:val="20"/>
          <w:szCs w:val="20"/>
        </w:rPr>
        <w:t xml:space="preserve">The chapter opens with this argument: the urgency to return to normal operations after a crisis feels productive but actually prevents the organisation from examining what went wrong at a structural level. Without deliberate post-incident review, the same latent failures persist and will eventually align to produce another crisis.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signals to external regulators that the organisation is not taking the incident seriously enough</w:t>
      </w:r>
    </w:p>
    <w:p>
      <w:pPr>
        <w:spacing w:after="80"/>
        <w:ind w:left="360"/>
      </w:pPr>
      <w:r>
        <w:rPr>
          <w:rFonts w:ascii="Calibri" w:cs="Calibri" w:eastAsia="Calibri" w:hAnsi="Calibri"/>
          <w:i/>
          <w:iCs/>
          <w:sz w:val="20"/>
          <w:szCs w:val="20"/>
        </w:rPr>
        <w:t xml:space="preserve">While regulatory perception matters, the chapter's argument is fundamentally about internal organisational learning, not external optics. The damage of moving on is not reputational — it is the perpetuation of the conditions that caused the crisis in the first place.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denies crisis responders the public recognition they deserve for their efforts</w:t>
      </w:r>
    </w:p>
    <w:p>
      <w:pPr>
        <w:spacing w:after="80"/>
        <w:ind w:left="360"/>
      </w:pPr>
      <w:r>
        <w:rPr>
          <w:rFonts w:ascii="Calibri" w:cs="Calibri" w:eastAsia="Calibri" w:hAnsi="Calibri"/>
          <w:i/>
          <w:iCs/>
          <w:sz w:val="20"/>
          <w:szCs w:val="20"/>
        </w:rPr>
        <w:t xml:space="preserve">The chapter does address the emotional aftermath for responders, but the core argument about the danger of moving on is about systemic learning, not recognition. Failing to acknowledge responders is a real problem, but it is not the primary reason the move-on instinct is described as damaging.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allows the individuals responsible for the failure to avoid disciplinary consequences</w:t>
      </w:r>
    </w:p>
    <w:p>
      <w:pPr>
        <w:spacing w:after="80"/>
        <w:ind w:left="360"/>
      </w:pPr>
      <w:r>
        <w:rPr>
          <w:rFonts w:ascii="Calibri" w:cs="Calibri" w:eastAsia="Calibri" w:hAnsi="Calibri"/>
          <w:i/>
          <w:iCs/>
          <w:sz w:val="20"/>
          <w:szCs w:val="20"/>
        </w:rPr>
        <w:t xml:space="preserve">This answer actually contradicts the chapter's framework. Dekker's just culture approach explicitly pushes against the assumption that finding and disciplining individuals is the correct response. The danger of moving on is not that blame is avoided, but that systemic learning never occurs.</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Which investigation methodology does the chapter identify as the 'gold standard' in learning from failure?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Aviation safety investigation methodology</w:t>
      </w:r>
    </w:p>
    <w:p>
      <w:pPr>
        <w:spacing w:after="120"/>
        <w:ind w:left="360"/>
      </w:pPr>
      <w:r>
        <w:rPr>
          <w:rFonts w:ascii="Calibri" w:cs="Calibri" w:eastAsia="Calibri" w:hAnsi="Calibri"/>
          <w:i/>
          <w:iCs/>
          <w:sz w:val="20"/>
          <w:szCs w:val="20"/>
        </w:rPr>
        <w:t xml:space="preserve">The chapter holds up aviation safety investigation as the gold standard for post-incident learning. Aviation's approach — characterised by independent investigation, systemic focus, separation from blame and prosecution, and mandatory reporting systems — has produced one of the most impressive safety records in any high-risk industry and serves as the benchmark against which other sectors' review processes are measured.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Criminal prosecution-led investigation processes</w:t>
      </w:r>
    </w:p>
    <w:p>
      <w:pPr>
        <w:spacing w:after="80"/>
        <w:ind w:left="360"/>
      </w:pPr>
      <w:r>
        <w:rPr>
          <w:rFonts w:ascii="Calibri" w:cs="Calibri" w:eastAsia="Calibri" w:hAnsi="Calibri"/>
          <w:i/>
          <w:iCs/>
          <w:sz w:val="20"/>
          <w:szCs w:val="20"/>
        </w:rPr>
        <w:t xml:space="preserve">Criminal investigations are designed to establish individual culpability, which fundamentally conflicts with the systemic, learning-oriented approach the chapter advocates. Prosecution-led processes tend to suppress honest testimony and focus on blame rather than on understanding the conditions that produced the failure.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Corporate internal audit methodologies</w:t>
      </w:r>
    </w:p>
    <w:p>
      <w:pPr>
        <w:spacing w:after="80"/>
        <w:ind w:left="360"/>
      </w:pPr>
      <w:r>
        <w:rPr>
          <w:rFonts w:ascii="Calibri" w:cs="Calibri" w:eastAsia="Calibri" w:hAnsi="Calibri"/>
          <w:i/>
          <w:iCs/>
          <w:sz w:val="20"/>
          <w:szCs w:val="20"/>
        </w:rPr>
        <w:t xml:space="preserve">Internal audits typically focus on compliance and procedural adherence rather than on understanding the deep systemic and human factors that contribute to complex failures. They also lack the independence that characterises the aviation investigation model, potentially being shaped by organisational politics.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Public inquiry processes such as the Grenfell Tower inquiry</w:t>
      </w:r>
    </w:p>
    <w:p>
      <w:pPr>
        <w:spacing w:after="80"/>
        <w:ind w:left="360"/>
      </w:pPr>
      <w:r>
        <w:rPr>
          <w:rFonts w:ascii="Calibri" w:cs="Calibri" w:eastAsia="Calibri" w:hAnsi="Calibri"/>
          <w:i/>
          <w:iCs/>
          <w:sz w:val="20"/>
          <w:szCs w:val="20"/>
        </w:rPr>
        <w:t xml:space="preserve">While the Grenfell Tower inquiry is discussed in the chapter, public inquiries are examined as case studies rather than held up as the gold standard. Public inquiries are often politicised, slow, and can become more focused on apportioning blame or satisfying public anger than on producing actionable systemic learning.</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When conducting post-incident interviews with participants, what does the chapter identify as a critical methodological concern?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Avoiding contamination of participants' recall through leading questions or exposure to others' accounts</w:t>
      </w:r>
    </w:p>
    <w:p>
      <w:pPr>
        <w:spacing w:after="120"/>
        <w:ind w:left="360"/>
      </w:pPr>
      <w:r>
        <w:rPr>
          <w:rFonts w:ascii="Calibri" w:cs="Calibri" w:eastAsia="Calibri" w:hAnsi="Calibri"/>
          <w:i/>
          <w:iCs/>
          <w:sz w:val="20"/>
          <w:szCs w:val="20"/>
        </w:rPr>
        <w:t xml:space="preserve">The chapter emphasises that post-incident interviews must be carefully structured to preserve the authenticity of participants' memories. Leading questions, premature sharing of timelines, or allowing participants to hear each other's accounts before being interviewed can all reshape what people believe they experienced, contaminating the evidence base the review depends upon.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Ensuring participants are interviewed in groups so their accounts can be cross-referenced in real time</w:t>
      </w:r>
    </w:p>
    <w:p>
      <w:pPr>
        <w:spacing w:after="80"/>
        <w:ind w:left="360"/>
      </w:pPr>
      <w:r>
        <w:rPr>
          <w:rFonts w:ascii="Calibri" w:cs="Calibri" w:eastAsia="Calibri" w:hAnsi="Calibri"/>
          <w:i/>
          <w:iCs/>
          <w:sz w:val="20"/>
          <w:szCs w:val="20"/>
        </w:rPr>
        <w:t xml:space="preserve">Group interviews might seem efficient and useful for cross-referencing, but they are precisely the kind of approach that contaminates recall. When participants hear others' accounts, their own memories are reshaped through social influence, producing a consensus narrative rather than independent recollections of what actually happened.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Recording interviews on video to create legally admissible evidence for potential disciplinary proceedings</w:t>
      </w:r>
    </w:p>
    <w:p>
      <w:pPr>
        <w:spacing w:after="80"/>
        <w:ind w:left="360"/>
      </w:pPr>
      <w:r>
        <w:rPr>
          <w:rFonts w:ascii="Calibri" w:cs="Calibri" w:eastAsia="Calibri" w:hAnsi="Calibri"/>
          <w:i/>
          <w:iCs/>
          <w:sz w:val="20"/>
          <w:szCs w:val="20"/>
        </w:rPr>
        <w:t xml:space="preserve">This answer reflects a blame-oriented approach that conflicts with the chapter's just culture framework. If participants believe their interviews may be used for disciplinary purposes, they become defensive and withhold information, undermining the review's ability to uncover what actually happened and why.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Focusing interview questions on what each participant should have done differently to prevent the crisis</w:t>
      </w:r>
    </w:p>
    <w:p>
      <w:pPr>
        <w:spacing w:after="80"/>
        <w:ind w:left="360"/>
      </w:pPr>
      <w:r>
        <w:rPr>
          <w:rFonts w:ascii="Calibri" w:cs="Calibri" w:eastAsia="Calibri" w:hAnsi="Calibri"/>
          <w:i/>
          <w:iCs/>
          <w:sz w:val="20"/>
          <w:szCs w:val="20"/>
        </w:rPr>
        <w:t xml:space="preserve">Framing questions around what individuals should have done differently introduces hindsight bias and turns the interview into an implicit blame exercise. The chapter's methodology focuses on understanding what participants knew, perceived, and decided at the time, in context — not on establishing what they should have known with the benefit of retrospect.</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 hospital experiences a serious medication error. The post-incident review reveals that the nurse involved had been working a double shift due to chronic understaffing, the medication labelling system used confusingly similar packaging for different drugs, and the electronic alert system had been disabled months earlier because of excessive false alarms. Applying Dekker's just culture framework, which response best reflects a systemic approach?</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Addressing the staffing patterns, medication labelling design, and alert system failures as the primary causes while examining the nurse's actions in the context of these conditions</w:t>
      </w:r>
    </w:p>
    <w:p>
      <w:pPr>
        <w:spacing w:after="120"/>
        <w:ind w:left="360"/>
      </w:pPr>
      <w:r>
        <w:rPr>
          <w:rFonts w:ascii="Calibri" w:cs="Calibri" w:eastAsia="Calibri" w:hAnsi="Calibri"/>
          <w:i/>
          <w:iCs/>
          <w:sz w:val="20"/>
          <w:szCs w:val="20"/>
        </w:rPr>
        <w:t xml:space="preserve">Dekker's framework directs investigators to understand individual actions within the systemic context that shaped them. The nurse's error occurred within a system that created fatigue through understaffing, confusion through poor labelling design, and removed a safety barrier by disabling alerts. Addressing these systemic conditions is what prevents recurrence; focusing only on the nurse leaves all three systemic vulnerabilities in place.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Retraining the nurse on medication protocols through formal competency assessment and placing a documented warning in their personnel file to ensure accountability standards are maintained</w:t>
      </w:r>
    </w:p>
    <w:p>
      <w:pPr>
        <w:spacing w:after="80"/>
        <w:ind w:left="360"/>
      </w:pPr>
      <w:r>
        <w:rPr>
          <w:rFonts w:ascii="Calibri" w:cs="Calibri" w:eastAsia="Calibri" w:hAnsi="Calibri"/>
          <w:i/>
          <w:iCs/>
          <w:sz w:val="20"/>
          <w:szCs w:val="20"/>
        </w:rPr>
        <w:t xml:space="preserve">This is the classic blame-the-individual response Dekker warns against. It treats the failure as a competence or attentiveness problem rather than recognising that the system created conditions — fatigue, confusing labels, disabled alerts — in which error was predictable. Retraining one nurse changes nothing about the conditions the next nurse will face.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Acknowledging the systemic factors but still disciplining the nurse to maintain accountability standards</w:t>
      </w:r>
    </w:p>
    <w:p>
      <w:pPr>
        <w:spacing w:after="80"/>
        <w:ind w:left="360"/>
      </w:pPr>
      <w:r>
        <w:rPr>
          <w:rFonts w:ascii="Calibri" w:cs="Calibri" w:eastAsia="Calibri" w:hAnsi="Calibri"/>
          <w:i/>
          <w:iCs/>
          <w:sz w:val="20"/>
          <w:szCs w:val="20"/>
        </w:rPr>
        <w:t xml:space="preserve">This superficially nods to systemic analysis while still defaulting to individual punishment. Dekker argues this hybrid approach still produces the chilling effect on error reporting — staff see that systemic factors are noted but individuals are still punished, which teaches them that honesty about errors will still result in personal consequences.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Treating the incident as an unavoidable systems failure and taking no action regarding any individual's performance</w:t>
      </w:r>
    </w:p>
    <w:p>
      <w:pPr>
        <w:spacing w:after="80"/>
        <w:ind w:left="360"/>
      </w:pPr>
      <w:r>
        <w:rPr>
          <w:rFonts w:ascii="Calibri" w:cs="Calibri" w:eastAsia="Calibri" w:hAnsi="Calibri"/>
          <w:i/>
          <w:iCs/>
          <w:sz w:val="20"/>
          <w:szCs w:val="20"/>
        </w:rPr>
        <w:t xml:space="preserve">A just culture is not a blame-free culture. Dekker's framework does not exempt individuals from all scrutiny — it insists that individual actions be examined within their systemic context. Some situations do warrant individual accountability, but that determination must come after systemic analysis, not as the default starting point or be categorically avoided.</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How does the concept of sensemaking, as revisited from Chapter 1, relate to post-incident review processes?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Organisations construct retrospective narratives about crises, and these narratives can either illuminate what actually happened or distort understanding by imposing coherence that did not exist at the time</w:t>
      </w:r>
    </w:p>
    <w:p>
      <w:pPr>
        <w:spacing w:after="120"/>
        <w:ind w:left="360"/>
      </w:pPr>
      <w:r>
        <w:rPr>
          <w:rFonts w:ascii="Calibri" w:cs="Calibri" w:eastAsia="Calibri" w:hAnsi="Calibri"/>
          <w:i/>
          <w:iCs/>
          <w:sz w:val="20"/>
          <w:szCs w:val="20"/>
        </w:rPr>
        <w:t xml:space="preserve">Sensemaking in the post-incident context refers to how organisations build stories about what happened and why. The danger is that retrospective narratives impose a logical, sequential coherence on events that felt chaotic and uncertain as they unfolded. Effective post-incident reviews must resist the pull toward neat narratives that flatten the true complexity and confusion of the crisis.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Sensemaking ensures that all stakeholders achieve shared understanding of events through structured group discussion and dialogue, which is essential for producing a unified final report</w:t>
      </w:r>
    </w:p>
    <w:p>
      <w:pPr>
        <w:spacing w:after="80"/>
        <w:ind w:left="360"/>
      </w:pPr>
      <w:r>
        <w:rPr>
          <w:rFonts w:ascii="Calibri" w:cs="Calibri" w:eastAsia="Calibri" w:hAnsi="Calibri"/>
          <w:i/>
          <w:iCs/>
          <w:sz w:val="20"/>
          <w:szCs w:val="20"/>
        </w:rPr>
        <w:t xml:space="preserve">This treats consensus as the goal of sensemaking, but the chapter warns that a single unified narrative can actually obscure what happened. Different participants experienced different aspects of the crisis, and forcing convergence on one story may eliminate important contradictions and nuances that reveal systemic weaknesses.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Sensemaking refers to the process of translating technical investigation findings into language accessible to non-expert audiences</w:t>
      </w:r>
    </w:p>
    <w:p>
      <w:pPr>
        <w:spacing w:after="80"/>
        <w:ind w:left="360"/>
      </w:pPr>
      <w:r>
        <w:rPr>
          <w:rFonts w:ascii="Calibri" w:cs="Calibri" w:eastAsia="Calibri" w:hAnsi="Calibri"/>
          <w:i/>
          <w:iCs/>
          <w:sz w:val="20"/>
          <w:szCs w:val="20"/>
        </w:rPr>
        <w:t xml:space="preserve">While communicating findings is important, sensemaking as a concept is about how people and organisations construct meaning from ambiguous events — not about translation or communication. This answer confuses a cognitive and social process with a practical communication task.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Sensemaking is a structured debriefing protocol used in aviation investigations to establish the factual timeline before analysis begins</w:t>
      </w:r>
    </w:p>
    <w:p>
      <w:pPr>
        <w:spacing w:after="80"/>
        <w:ind w:left="360"/>
      </w:pPr>
      <w:r>
        <w:rPr>
          <w:rFonts w:ascii="Calibri" w:cs="Calibri" w:eastAsia="Calibri" w:hAnsi="Calibri"/>
          <w:i/>
          <w:iCs/>
          <w:sz w:val="20"/>
          <w:szCs w:val="20"/>
        </w:rPr>
        <w:t xml:space="preserve">Sensemaking is not a specific investigative protocol or technique. It is a broader concept describing how people retrospectively construct understanding of events. While timeline establishment is part of post-incident review methodology, conflating it with sensemaking misunderstands both concepts.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The chapter discusses hindsight bias as a significant threat to post-incident review. Which of the following best describes how hindsight bias distorts the review process?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makes the outcome seem inevitable and the errors obvious, causing reviewers to judge decisions as though the people making them had access to information that only became available after the event</w:t>
      </w:r>
    </w:p>
    <w:p>
      <w:pPr>
        <w:spacing w:after="120"/>
        <w:ind w:left="360"/>
      </w:pPr>
      <w:r>
        <w:rPr>
          <w:rFonts w:ascii="Calibri" w:cs="Calibri" w:eastAsia="Calibri" w:hAnsi="Calibri"/>
          <w:i/>
          <w:iCs/>
          <w:sz w:val="20"/>
          <w:szCs w:val="20"/>
        </w:rPr>
        <w:t xml:space="preserve">Hindsight bias is the tendency to view past events as having been predictable once you know how they turned out. In post-incident review, this is dangerous because it leads reviewers to conclude that decision-makers 'should have known' — when in reality, they were operating under uncertainty, time pressure, and incomplete information. This distortion makes individual blame seem more justified than it 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causes reviewers to focus exclusively on the most recent events immediately preceding the crisis, overlooking longer-term structural and cultural factors that created vulnerability</w:t>
      </w:r>
    </w:p>
    <w:p>
      <w:pPr>
        <w:spacing w:after="80"/>
        <w:ind w:left="360"/>
      </w:pPr>
      <w:r>
        <w:rPr>
          <w:rFonts w:ascii="Calibri" w:cs="Calibri" w:eastAsia="Calibri" w:hAnsi="Calibri"/>
          <w:i/>
          <w:iCs/>
          <w:sz w:val="20"/>
          <w:szCs w:val="20"/>
        </w:rPr>
        <w:t xml:space="preserve">This describes recency bias, not hindsight bias. While focusing only on proximate events is a real problem in investigations, hindsight bias specifically refers to the illusion that outcomes were foreseeable, which distorts judgements about the reasonableness of decisions made under uncertainty.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leads investigators to deliberately conceal evidence that contradicts their preferred narrative of what happened, often unconsciously, because of their commitment to a particular explanation</w:t>
      </w:r>
    </w:p>
    <w:p>
      <w:pPr>
        <w:spacing w:after="80"/>
        <w:ind w:left="360"/>
      </w:pPr>
      <w:r>
        <w:rPr>
          <w:rFonts w:ascii="Calibri" w:cs="Calibri" w:eastAsia="Calibri" w:hAnsi="Calibri"/>
          <w:i/>
          <w:iCs/>
          <w:sz w:val="20"/>
          <w:szCs w:val="20"/>
        </w:rPr>
        <w:t xml:space="preserve">This describes intentional evidence suppression, which is an integrity problem rather than a cognitive bias. Hindsight bias operates unconsciously — reviewers genuinely believe the outcome was predictable because knowing the result reshapes their perception of what was knowable beforehand. It is a cognitive distortion, not a deliberate choice.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causes participants to exaggerate their own role in the crisis to gain recognition or deflect blame to others</w:t>
      </w:r>
    </w:p>
    <w:p>
      <w:pPr>
        <w:spacing w:after="80"/>
        <w:ind w:left="360"/>
      </w:pPr>
      <w:r>
        <w:rPr>
          <w:rFonts w:ascii="Calibri" w:cs="Calibri" w:eastAsia="Calibri" w:hAnsi="Calibri"/>
          <w:i/>
          <w:iCs/>
          <w:sz w:val="20"/>
          <w:szCs w:val="20"/>
        </w:rPr>
        <w:t xml:space="preserve">This describes self-serving bias or impression management in interviews, not hindsight bias. Hindsight bias is about the reviewers' distorted perception of foreseeability, not about participants inflating their own importance or strategically managing blame.</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An organisation completes a post-incident review that produces detailed findings and forty-seven recommendations. Eighteen months later, fewer than five recommendations have been implemented, and the report is largely forgotten. Based on the chapter's analysis, which factor most likely explains this outcome?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review failed to include mechanisms for translating findings into changes that actually stick, such as ownership assignment, timelines, and integration into existing organisational processes</w:t>
      </w:r>
    </w:p>
    <w:p>
      <w:pPr>
        <w:spacing w:after="120"/>
        <w:ind w:left="360"/>
      </w:pPr>
      <w:r>
        <w:rPr>
          <w:rFonts w:ascii="Calibri" w:cs="Calibri" w:eastAsia="Calibri" w:hAnsi="Calibri"/>
          <w:i/>
          <w:iCs/>
          <w:sz w:val="20"/>
          <w:szCs w:val="20"/>
        </w:rPr>
        <w:t xml:space="preserve">The chapter explicitly addresses the problem of reviews that produce 'shelf-filling reports' — comprehensive documents that generate no lasting change. Effective post-incident reviews must build implementation into their design: assigning clear ownership for each recommendation, establishing timelines, creating follow-up mechanisms, and embedding changes into operational processes rather than leaving them as aspirational list items.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review produced too many recommendations, and organisations can only effectively implement three to five changes at a time</w:t>
      </w:r>
    </w:p>
    <w:p>
      <w:pPr>
        <w:spacing w:after="80"/>
        <w:ind w:left="360"/>
      </w:pPr>
      <w:r>
        <w:rPr>
          <w:rFonts w:ascii="Calibri" w:cs="Calibri" w:eastAsia="Calibri" w:hAnsi="Calibri"/>
          <w:i/>
          <w:iCs/>
          <w:sz w:val="20"/>
          <w:szCs w:val="20"/>
        </w:rPr>
        <w:t xml:space="preserve">While recommendation overload can be a real practical challenge, the chapter's analysis points to a deeper structural problem: the absence of mechanisms to drive implementation. Even a small number of recommendations will go unimplemented if there is no ownership, timeline, or follow-up process. The quantity of recommendations is a symptom, not the root cause.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review was conducted too soon after the crisis, before the organisation had sufficient emotional distance to act on the findings</w:t>
      </w:r>
    </w:p>
    <w:p>
      <w:pPr>
        <w:spacing w:after="80"/>
        <w:ind w:left="360"/>
      </w:pPr>
      <w:r>
        <w:rPr>
          <w:rFonts w:ascii="Calibri" w:cs="Calibri" w:eastAsia="Calibri" w:hAnsi="Calibri"/>
          <w:i/>
          <w:iCs/>
          <w:sz w:val="20"/>
          <w:szCs w:val="20"/>
        </w:rPr>
        <w:t xml:space="preserve">Timing of reviews involves trade-offs, but the chapter does not identify premature review as the primary cause of implementation failure. The problem of shelf-filling reports is structural — it is about whether the review process includes mechanisms for driving and tracking change, not about when the review was conducted.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investigators lacked the technical expertise to produce recommendations that were operationally feasible</w:t>
      </w:r>
    </w:p>
    <w:p>
      <w:pPr>
        <w:spacing w:after="80"/>
        <w:ind w:left="360"/>
      </w:pPr>
      <w:r>
        <w:rPr>
          <w:rFonts w:ascii="Calibri" w:cs="Calibri" w:eastAsia="Calibri" w:hAnsi="Calibri"/>
          <w:i/>
          <w:iCs/>
          <w:sz w:val="20"/>
          <w:szCs w:val="20"/>
        </w:rPr>
        <w:t xml:space="preserve">While investigator competence matters, the described pattern — detailed findings and numerous recommendations that go unimplemented — suggests the analytical work was done but the implementation infrastructure was absent. The problem is not that the recommendations were wrong, but that no one was made responsible for acting on them.</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The chapter argues that most organisations are 'catastrophically bad' at addressing a particular aspect of the post-crisis period. Which aspect is this referring to?</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emotional aftermath experienced by the people who led the crisis response</w:t>
      </w:r>
    </w:p>
    <w:p>
      <w:pPr>
        <w:spacing w:after="120"/>
        <w:ind w:left="360"/>
      </w:pPr>
      <w:r>
        <w:rPr>
          <w:rFonts w:ascii="Calibri" w:cs="Calibri" w:eastAsia="Calibri" w:hAnsi="Calibri"/>
          <w:i/>
          <w:iCs/>
          <w:sz w:val="20"/>
          <w:szCs w:val="20"/>
        </w:rPr>
        <w:t xml:space="preserve">The chapter specifically identifies the emotional toll on crisis responders and leaders as something most organisations handle extremely poorly. After the acute phase ends, those who carried the burden of decision-making under extreme pressure are typically expected to resume normal duties without acknowledgement of what they experienced. This neglect has consequences for both the individuals involved and the organisation's capacity to respond to future crises.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financial cost accounting and budget reconciliation required after emergency expenditures</w:t>
      </w:r>
    </w:p>
    <w:p>
      <w:pPr>
        <w:spacing w:after="80"/>
        <w:ind w:left="360"/>
      </w:pPr>
      <w:r>
        <w:rPr>
          <w:rFonts w:ascii="Calibri" w:cs="Calibri" w:eastAsia="Calibri" w:hAnsi="Calibri"/>
          <w:i/>
          <w:iCs/>
          <w:sz w:val="20"/>
          <w:szCs w:val="20"/>
        </w:rPr>
        <w:t xml:space="preserve">While post-crisis financial management is a practical necessity, the chapter's critique about organisations being 'catastrophically bad' is directed at the human and emotional dimension — specifically, the failure to support the people who led the response. Financial reconciliation, though sometimes poorly handled, is not the focus of this particular argument.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restoration of supply chain relationships that were disrupted during the crisis period</w:t>
      </w:r>
    </w:p>
    <w:p>
      <w:pPr>
        <w:spacing w:after="80"/>
        <w:ind w:left="360"/>
      </w:pPr>
      <w:r>
        <w:rPr>
          <w:rFonts w:ascii="Calibri" w:cs="Calibri" w:eastAsia="Calibri" w:hAnsi="Calibri"/>
          <w:i/>
          <w:iCs/>
          <w:sz w:val="20"/>
          <w:szCs w:val="20"/>
        </w:rPr>
        <w:t xml:space="preserve">Supply chain recovery is an operational concern, not the focus of the chapter's critique. The word 'catastrophically' signals a failing that the chapter treats as especially consequential and widespread, which is the organisational neglect of crisis responders' psychological and emotional wellbeing.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updating of crisis management plans to reflect lessons learned from the most recent event</w:t>
      </w:r>
    </w:p>
    <w:p>
      <w:pPr>
        <w:spacing w:after="80"/>
        <w:ind w:left="360"/>
      </w:pPr>
      <w:r>
        <w:rPr>
          <w:rFonts w:ascii="Calibri" w:cs="Calibri" w:eastAsia="Calibri" w:hAnsi="Calibri"/>
          <w:i/>
          <w:iCs/>
          <w:sz w:val="20"/>
          <w:szCs w:val="20"/>
        </w:rPr>
        <w:t xml:space="preserve">Plan updating is indeed often done poorly, and the chapter addresses the broader problem of organisational learning. However, the specific phrase about being 'catastrophically bad' is used to describe the neglect of the emotional aftermath for responders — described as something most organisations barely acknowledge, let alone address effectively.</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2026-02-20T06:57:26.887Z</dcterms:created>
  <dcterms:modified xsi:type="dcterms:W3CDTF">2026-02-20T06:57:26.887Z</dcterms:modified>
</cp:coreProperties>
</file>

<file path=docProps/custom.xml><?xml version="1.0" encoding="utf-8"?>
<Properties xmlns="http://schemas.openxmlformats.org/officeDocument/2006/custom-properties" xmlns:vt="http://schemas.openxmlformats.org/officeDocument/2006/docPropsVTypes"/>
</file>